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AF650">
      <w:pPr>
        <w:widowControl w:val="0"/>
        <w:kinsoku/>
        <w:autoSpaceDE/>
        <w:autoSpaceDN/>
        <w:adjustRightInd/>
        <w:snapToGrid/>
        <w:spacing w:line="24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附件 </w:t>
      </w:r>
      <w:r>
        <w:rPr>
          <w:rFonts w:hint="default" w:ascii="Times New Roman" w:hAnsi="Times New Roman" w:eastAsia="仿宋" w:cs="Times New Roman"/>
          <w:snapToGrid/>
          <w:kern w:val="2"/>
          <w:sz w:val="28"/>
          <w:szCs w:val="28"/>
          <w:lang w:eastAsia="zh-CN"/>
        </w:rPr>
        <w:t>1</w:t>
      </w:r>
      <w:r>
        <w:rPr>
          <w:rFonts w:hint="eastAsia" w:ascii="仿宋" w:hAnsi="仿宋" w:eastAsia="仿宋" w:cs="Times New Roman"/>
          <w:snapToGrid/>
          <w:kern w:val="2"/>
          <w:sz w:val="28"/>
          <w:szCs w:val="28"/>
          <w:lang w:eastAsia="zh-CN"/>
        </w:rPr>
        <w:t>：</w:t>
      </w:r>
    </w:p>
    <w:p w14:paraId="61013166">
      <w:pPr>
        <w:pStyle w:val="3"/>
        <w:spacing w:line="251" w:lineRule="auto"/>
      </w:pPr>
    </w:p>
    <w:p w14:paraId="6B952444">
      <w:pPr>
        <w:pStyle w:val="3"/>
        <w:spacing w:line="251" w:lineRule="auto"/>
      </w:pPr>
    </w:p>
    <w:p w14:paraId="6132BDA9">
      <w:pPr>
        <w:pStyle w:val="3"/>
        <w:spacing w:line="252" w:lineRule="auto"/>
      </w:pPr>
    </w:p>
    <w:p w14:paraId="52D7FECD">
      <w:pPr>
        <w:pStyle w:val="3"/>
        <w:spacing w:line="252" w:lineRule="auto"/>
      </w:pPr>
    </w:p>
    <w:p w14:paraId="7619FD0C">
      <w:pPr>
        <w:pStyle w:val="3"/>
        <w:spacing w:line="252" w:lineRule="auto"/>
      </w:pPr>
    </w:p>
    <w:p w14:paraId="453B93CC">
      <w:pPr>
        <w:pStyle w:val="3"/>
        <w:spacing w:line="252" w:lineRule="auto"/>
      </w:pPr>
    </w:p>
    <w:p w14:paraId="567B1AD1">
      <w:pPr>
        <w:pStyle w:val="3"/>
        <w:spacing w:line="252" w:lineRule="auto"/>
      </w:pPr>
    </w:p>
    <w:p w14:paraId="1532914C">
      <w:pPr>
        <w:pStyle w:val="3"/>
        <w:tabs>
          <w:tab w:val="left" w:pos="6112"/>
        </w:tabs>
        <w:spacing w:line="252" w:lineRule="auto"/>
        <w:rPr>
          <w:rFonts w:hint="eastAsia" w:eastAsia="宋体"/>
          <w:lang w:eastAsia="zh-CN"/>
        </w:rPr>
      </w:pPr>
      <w:r>
        <w:rPr>
          <w:rFonts w:hint="eastAsia" w:eastAsia="宋体"/>
          <w:lang w:eastAsia="zh-CN"/>
        </w:rPr>
        <w:tab/>
      </w:r>
    </w:p>
    <w:p w14:paraId="3CD5A4D8">
      <w:pPr>
        <w:pStyle w:val="3"/>
        <w:spacing w:line="252" w:lineRule="auto"/>
      </w:pPr>
    </w:p>
    <w:p w14:paraId="6BF3B666">
      <w:pPr>
        <w:pStyle w:val="3"/>
        <w:spacing w:line="252" w:lineRule="auto"/>
      </w:pPr>
    </w:p>
    <w:p w14:paraId="3E92B6EF">
      <w:pPr>
        <w:pStyle w:val="3"/>
        <w:spacing w:line="252" w:lineRule="auto"/>
      </w:pPr>
    </w:p>
    <w:p w14:paraId="230043E5">
      <w:pPr>
        <w:pStyle w:val="3"/>
        <w:spacing w:line="252" w:lineRule="auto"/>
        <w:rPr>
          <w:rFonts w:hint="eastAsia" w:asciiTheme="majorEastAsia" w:hAnsiTheme="majorEastAsia" w:eastAsiaTheme="majorEastAsia" w:cstheme="majorEastAsia"/>
          <w:sz w:val="44"/>
          <w:szCs w:val="44"/>
        </w:rPr>
      </w:pPr>
    </w:p>
    <w:p w14:paraId="0AC22F5F">
      <w:pPr>
        <w:pStyle w:val="3"/>
        <w:spacing w:line="252" w:lineRule="auto"/>
        <w:rPr>
          <w:rFonts w:hint="eastAsia" w:asciiTheme="majorEastAsia" w:hAnsiTheme="majorEastAsia" w:eastAsiaTheme="majorEastAsia" w:cstheme="majorEastAsia"/>
          <w:sz w:val="44"/>
          <w:szCs w:val="44"/>
        </w:rPr>
      </w:pPr>
    </w:p>
    <w:p w14:paraId="049F5C37">
      <w:pPr>
        <w:widowControl w:val="0"/>
        <w:kinsoku/>
        <w:autoSpaceDE/>
        <w:autoSpaceDN/>
        <w:adjustRightInd/>
        <w:snapToGrid/>
        <w:spacing w:line="240" w:lineRule="auto"/>
        <w:jc w:val="center"/>
        <w:textAlignment w:val="auto"/>
        <w:rPr>
          <w:rFonts w:hint="eastAsia" w:asciiTheme="majorEastAsia" w:hAnsiTheme="majorEastAsia" w:eastAsiaTheme="majorEastAsia" w:cstheme="majorEastAsia"/>
          <w:snapToGrid/>
          <w:kern w:val="2"/>
          <w:sz w:val="44"/>
          <w:szCs w:val="44"/>
          <w:lang w:eastAsia="zh-CN"/>
        </w:rPr>
      </w:pPr>
      <w:r>
        <w:rPr>
          <w:rFonts w:hint="eastAsia" w:asciiTheme="majorEastAsia" w:hAnsiTheme="majorEastAsia" w:eastAsiaTheme="majorEastAsia" w:cstheme="majorEastAsia"/>
          <w:snapToGrid/>
          <w:kern w:val="2"/>
          <w:sz w:val="44"/>
          <w:szCs w:val="44"/>
          <w:lang w:eastAsia="zh-CN"/>
        </w:rPr>
        <w:t>2023 年度</w:t>
      </w:r>
    </w:p>
    <w:p w14:paraId="278294DC">
      <w:pPr>
        <w:widowControl w:val="0"/>
        <w:kinsoku/>
        <w:autoSpaceDE/>
        <w:autoSpaceDN/>
        <w:adjustRightInd/>
        <w:snapToGrid/>
        <w:spacing w:line="240" w:lineRule="auto"/>
        <w:jc w:val="center"/>
        <w:textAlignment w:val="auto"/>
        <w:rPr>
          <w:rFonts w:hint="eastAsia" w:asciiTheme="majorEastAsia" w:hAnsiTheme="majorEastAsia" w:eastAsiaTheme="majorEastAsia" w:cstheme="majorEastAsia"/>
          <w:snapToGrid/>
          <w:kern w:val="2"/>
          <w:sz w:val="44"/>
          <w:szCs w:val="44"/>
          <w:lang w:eastAsia="zh-CN"/>
        </w:rPr>
      </w:pPr>
    </w:p>
    <w:p w14:paraId="314F16E7">
      <w:pPr>
        <w:widowControl w:val="0"/>
        <w:kinsoku/>
        <w:autoSpaceDE/>
        <w:autoSpaceDN/>
        <w:adjustRightInd/>
        <w:snapToGrid/>
        <w:spacing w:line="240" w:lineRule="auto"/>
        <w:jc w:val="center"/>
        <w:textAlignment w:val="auto"/>
        <w:rPr>
          <w:rFonts w:hint="eastAsia" w:asciiTheme="majorEastAsia" w:hAnsiTheme="majorEastAsia" w:eastAsiaTheme="majorEastAsia" w:cstheme="majorEastAsia"/>
          <w:snapToGrid/>
          <w:kern w:val="2"/>
          <w:sz w:val="44"/>
          <w:szCs w:val="44"/>
          <w:lang w:val="en-US" w:eastAsia="zh-CN"/>
        </w:rPr>
      </w:pPr>
      <w:r>
        <w:rPr>
          <w:rFonts w:hint="eastAsia" w:asciiTheme="majorEastAsia" w:hAnsiTheme="majorEastAsia" w:eastAsiaTheme="majorEastAsia" w:cstheme="majorEastAsia"/>
          <w:snapToGrid/>
          <w:kern w:val="2"/>
          <w:sz w:val="44"/>
          <w:szCs w:val="44"/>
          <w:lang w:val="en-US" w:eastAsia="zh-CN"/>
        </w:rPr>
        <w:t>长春高新技术产业开发区社区卫生</w:t>
      </w:r>
    </w:p>
    <w:p w14:paraId="0E93D7DE">
      <w:pPr>
        <w:widowControl w:val="0"/>
        <w:kinsoku/>
        <w:autoSpaceDE/>
        <w:autoSpaceDN/>
        <w:adjustRightInd/>
        <w:snapToGrid/>
        <w:spacing w:line="240" w:lineRule="auto"/>
        <w:jc w:val="center"/>
        <w:textAlignment w:val="auto"/>
        <w:rPr>
          <w:rFonts w:hint="eastAsia" w:asciiTheme="majorEastAsia" w:hAnsiTheme="majorEastAsia" w:eastAsiaTheme="majorEastAsia" w:cstheme="majorEastAsia"/>
          <w:snapToGrid/>
          <w:kern w:val="2"/>
          <w:sz w:val="44"/>
          <w:szCs w:val="44"/>
          <w:lang w:eastAsia="zh-CN"/>
        </w:rPr>
      </w:pPr>
      <w:r>
        <w:rPr>
          <w:rFonts w:hint="eastAsia" w:asciiTheme="majorEastAsia" w:hAnsiTheme="majorEastAsia" w:eastAsiaTheme="majorEastAsia" w:cstheme="majorEastAsia"/>
          <w:snapToGrid/>
          <w:kern w:val="2"/>
          <w:sz w:val="44"/>
          <w:szCs w:val="44"/>
          <w:lang w:val="en-US" w:eastAsia="zh-CN"/>
        </w:rPr>
        <w:t>服务中心</w:t>
      </w:r>
      <w:r>
        <w:rPr>
          <w:rFonts w:hint="eastAsia" w:asciiTheme="majorEastAsia" w:hAnsiTheme="majorEastAsia" w:eastAsiaTheme="majorEastAsia" w:cstheme="majorEastAsia"/>
          <w:snapToGrid/>
          <w:kern w:val="2"/>
          <w:sz w:val="44"/>
          <w:szCs w:val="44"/>
          <w:lang w:eastAsia="zh-CN"/>
        </w:rPr>
        <w:t>部门决算</w:t>
      </w:r>
    </w:p>
    <w:p w14:paraId="1060D53D">
      <w:pPr>
        <w:pStyle w:val="3"/>
        <w:spacing w:line="242" w:lineRule="auto"/>
      </w:pPr>
    </w:p>
    <w:p w14:paraId="3C7FA8AA">
      <w:pPr>
        <w:pStyle w:val="3"/>
        <w:spacing w:line="242" w:lineRule="auto"/>
      </w:pPr>
    </w:p>
    <w:p w14:paraId="7CF613E2">
      <w:pPr>
        <w:pStyle w:val="3"/>
        <w:spacing w:line="242" w:lineRule="auto"/>
      </w:pPr>
    </w:p>
    <w:p w14:paraId="405C84E3">
      <w:pPr>
        <w:pStyle w:val="3"/>
        <w:spacing w:line="242" w:lineRule="auto"/>
      </w:pPr>
    </w:p>
    <w:p w14:paraId="2E95E4A7">
      <w:pPr>
        <w:pStyle w:val="3"/>
        <w:spacing w:line="242" w:lineRule="auto"/>
      </w:pPr>
    </w:p>
    <w:p w14:paraId="0946FE81">
      <w:pPr>
        <w:pStyle w:val="3"/>
        <w:spacing w:line="242" w:lineRule="auto"/>
      </w:pPr>
    </w:p>
    <w:p w14:paraId="2FB2C5BD">
      <w:pPr>
        <w:pStyle w:val="3"/>
        <w:spacing w:line="242" w:lineRule="auto"/>
      </w:pPr>
    </w:p>
    <w:p w14:paraId="06FE5BC0">
      <w:pPr>
        <w:pStyle w:val="3"/>
        <w:spacing w:line="242" w:lineRule="auto"/>
      </w:pPr>
    </w:p>
    <w:p w14:paraId="133E26F6">
      <w:pPr>
        <w:pStyle w:val="3"/>
        <w:spacing w:line="242" w:lineRule="auto"/>
      </w:pPr>
    </w:p>
    <w:p w14:paraId="036EE18D">
      <w:pPr>
        <w:pStyle w:val="3"/>
        <w:spacing w:line="242" w:lineRule="auto"/>
      </w:pPr>
    </w:p>
    <w:p w14:paraId="5BA80754">
      <w:pPr>
        <w:pStyle w:val="3"/>
        <w:spacing w:line="242" w:lineRule="auto"/>
      </w:pPr>
    </w:p>
    <w:p w14:paraId="3A8CFBC0">
      <w:pPr>
        <w:pStyle w:val="3"/>
        <w:spacing w:line="243" w:lineRule="auto"/>
      </w:pPr>
    </w:p>
    <w:p w14:paraId="5E15437B">
      <w:pPr>
        <w:pStyle w:val="3"/>
        <w:spacing w:line="243" w:lineRule="auto"/>
      </w:pPr>
    </w:p>
    <w:p w14:paraId="6EC2F487">
      <w:pPr>
        <w:pStyle w:val="3"/>
        <w:spacing w:line="243" w:lineRule="auto"/>
      </w:pPr>
    </w:p>
    <w:p w14:paraId="7A68C2DB">
      <w:pPr>
        <w:pStyle w:val="3"/>
        <w:spacing w:line="243" w:lineRule="auto"/>
      </w:pPr>
    </w:p>
    <w:p w14:paraId="52C01122">
      <w:pPr>
        <w:pStyle w:val="3"/>
        <w:spacing w:line="243" w:lineRule="auto"/>
      </w:pPr>
    </w:p>
    <w:p w14:paraId="0E09508E">
      <w:pPr>
        <w:pStyle w:val="3"/>
        <w:spacing w:line="243" w:lineRule="auto"/>
      </w:pPr>
    </w:p>
    <w:p w14:paraId="274D1A58">
      <w:pPr>
        <w:pStyle w:val="3"/>
        <w:spacing w:line="243" w:lineRule="auto"/>
      </w:pPr>
    </w:p>
    <w:p w14:paraId="6FDDC089">
      <w:pPr>
        <w:pStyle w:val="3"/>
        <w:spacing w:line="243" w:lineRule="auto"/>
      </w:pPr>
    </w:p>
    <w:p w14:paraId="21EDD830">
      <w:pPr>
        <w:pStyle w:val="3"/>
        <w:spacing w:line="243" w:lineRule="auto"/>
      </w:pPr>
    </w:p>
    <w:p w14:paraId="6A7BD3B1">
      <w:pPr>
        <w:widowControl w:val="0"/>
        <w:kinsoku/>
        <w:autoSpaceDE/>
        <w:autoSpaceDN/>
        <w:adjustRightInd/>
        <w:snapToGrid/>
        <w:spacing w:line="240" w:lineRule="auto"/>
        <w:jc w:val="center"/>
        <w:textAlignment w:val="auto"/>
        <w:rPr>
          <w:rFonts w:hint="eastAsia" w:asciiTheme="majorEastAsia" w:hAnsiTheme="majorEastAsia" w:eastAsiaTheme="majorEastAsia" w:cstheme="majorEastAsia"/>
          <w:snapToGrid/>
          <w:kern w:val="2"/>
          <w:sz w:val="32"/>
          <w:szCs w:val="32"/>
          <w:lang w:eastAsia="zh-CN"/>
        </w:rPr>
      </w:pPr>
      <w:r>
        <w:rPr>
          <w:rFonts w:hint="eastAsia" w:asciiTheme="majorEastAsia" w:hAnsiTheme="majorEastAsia" w:eastAsiaTheme="majorEastAsia" w:cstheme="majorEastAsia"/>
          <w:snapToGrid/>
          <w:kern w:val="2"/>
          <w:sz w:val="32"/>
          <w:szCs w:val="32"/>
          <w:lang w:eastAsia="zh-CN"/>
        </w:rPr>
        <w:t>2024 年</w:t>
      </w:r>
      <w:r>
        <w:rPr>
          <w:rFonts w:hint="eastAsia" w:asciiTheme="majorEastAsia" w:hAnsiTheme="majorEastAsia" w:eastAsiaTheme="majorEastAsia" w:cstheme="majorEastAsia"/>
          <w:snapToGrid/>
          <w:kern w:val="2"/>
          <w:sz w:val="32"/>
          <w:szCs w:val="32"/>
          <w:lang w:val="en-US" w:eastAsia="zh-CN"/>
        </w:rPr>
        <w:t>9</w:t>
      </w:r>
      <w:r>
        <w:rPr>
          <w:rFonts w:hint="eastAsia" w:asciiTheme="majorEastAsia" w:hAnsiTheme="majorEastAsia" w:eastAsiaTheme="majorEastAsia" w:cstheme="majorEastAsia"/>
          <w:snapToGrid/>
          <w:kern w:val="2"/>
          <w:sz w:val="32"/>
          <w:szCs w:val="32"/>
          <w:lang w:eastAsia="zh-CN"/>
        </w:rPr>
        <w:t>月</w:t>
      </w:r>
      <w:r>
        <w:rPr>
          <w:rFonts w:hint="eastAsia" w:asciiTheme="majorEastAsia" w:hAnsiTheme="majorEastAsia" w:eastAsiaTheme="majorEastAsia" w:cstheme="majorEastAsia"/>
          <w:snapToGrid/>
          <w:kern w:val="2"/>
          <w:sz w:val="32"/>
          <w:szCs w:val="32"/>
          <w:lang w:val="en-US" w:eastAsia="zh-CN"/>
        </w:rPr>
        <w:t>5</w:t>
      </w:r>
      <w:r>
        <w:rPr>
          <w:rFonts w:hint="eastAsia" w:asciiTheme="majorEastAsia" w:hAnsiTheme="majorEastAsia" w:eastAsiaTheme="majorEastAsia" w:cstheme="majorEastAsia"/>
          <w:snapToGrid/>
          <w:kern w:val="2"/>
          <w:sz w:val="32"/>
          <w:szCs w:val="32"/>
          <w:lang w:eastAsia="zh-CN"/>
        </w:rPr>
        <w:t>日</w:t>
      </w:r>
    </w:p>
    <w:p w14:paraId="38B36DF8">
      <w:pPr>
        <w:widowControl w:val="0"/>
        <w:kinsoku/>
        <w:autoSpaceDE/>
        <w:autoSpaceDN/>
        <w:adjustRightInd/>
        <w:snapToGrid/>
        <w:spacing w:line="240" w:lineRule="auto"/>
        <w:jc w:val="center"/>
        <w:textAlignment w:val="auto"/>
        <w:rPr>
          <w:rFonts w:ascii="仿宋" w:hAnsi="仿宋" w:eastAsia="仿宋" w:cs="Arial"/>
          <w:snapToGrid/>
          <w:kern w:val="2"/>
          <w:sz w:val="44"/>
          <w:szCs w:val="44"/>
          <w:lang w:eastAsia="zh-CN"/>
        </w:rPr>
        <w:sectPr>
          <w:footerReference r:id="rId5" w:type="default"/>
          <w:pgSz w:w="11907" w:h="16839"/>
          <w:pgMar w:top="1431" w:right="1785" w:bottom="1153" w:left="1785" w:header="0" w:footer="965" w:gutter="0"/>
          <w:cols w:space="720" w:num="1"/>
        </w:sectPr>
      </w:pPr>
    </w:p>
    <w:p w14:paraId="4066CD4E">
      <w:pPr>
        <w:pStyle w:val="3"/>
        <w:spacing w:line="289" w:lineRule="auto"/>
      </w:pPr>
    </w:p>
    <w:p w14:paraId="6D234467">
      <w:pPr>
        <w:pStyle w:val="3"/>
        <w:spacing w:line="290" w:lineRule="auto"/>
      </w:pPr>
    </w:p>
    <w:p w14:paraId="056530A3">
      <w:pPr>
        <w:spacing w:before="140" w:line="223" w:lineRule="auto"/>
        <w:ind w:left="3502"/>
        <w:outlineLvl w:val="0"/>
        <w:rPr>
          <w:rFonts w:hint="eastAsia" w:asciiTheme="majorEastAsia" w:hAnsiTheme="majorEastAsia" w:eastAsiaTheme="majorEastAsia" w:cstheme="majorEastAsia"/>
          <w:sz w:val="43"/>
          <w:szCs w:val="43"/>
        </w:rPr>
      </w:pPr>
      <w:r>
        <w:rPr>
          <w:rFonts w:hint="eastAsia" w:asciiTheme="majorEastAsia" w:hAnsiTheme="majorEastAsia" w:eastAsiaTheme="majorEastAsia" w:cstheme="majorEastAsia"/>
          <w:snapToGrid/>
          <w:kern w:val="2"/>
          <w:sz w:val="44"/>
          <w:szCs w:val="22"/>
          <w:lang w:eastAsia="zh-CN"/>
        </w:rPr>
        <w:t>目   录</w:t>
      </w:r>
    </w:p>
    <w:p w14:paraId="7C9DFAFB">
      <w:pPr>
        <w:pStyle w:val="3"/>
        <w:spacing w:line="341" w:lineRule="auto"/>
        <w:rPr>
          <w:rFonts w:hint="eastAsia" w:asciiTheme="majorEastAsia" w:hAnsiTheme="majorEastAsia" w:eastAsiaTheme="majorEastAsia" w:cstheme="majorEastAsia"/>
        </w:rPr>
      </w:pPr>
    </w:p>
    <w:p w14:paraId="3FCFCF18">
      <w:pPr>
        <w:pStyle w:val="3"/>
        <w:spacing w:line="342" w:lineRule="auto"/>
        <w:rPr>
          <w:rFonts w:hint="eastAsia" w:asciiTheme="majorEastAsia" w:hAnsiTheme="majorEastAsia" w:eastAsiaTheme="majorEastAsia" w:cstheme="majorEastAsia"/>
        </w:rPr>
      </w:pPr>
    </w:p>
    <w:p w14:paraId="7204828B">
      <w:pPr>
        <w:spacing w:before="101" w:line="223" w:lineRule="auto"/>
        <w:ind w:left="49"/>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b/>
          <w:bCs/>
          <w:sz w:val="31"/>
          <w:szCs w:val="31"/>
        </w:rPr>
        <w:t>第一部分</w:t>
      </w:r>
      <w:r>
        <w:rPr>
          <w:rFonts w:hint="eastAsia" w:asciiTheme="majorEastAsia" w:hAnsiTheme="majorEastAsia" w:eastAsiaTheme="majorEastAsia" w:cstheme="majorEastAsia"/>
          <w:spacing w:val="18"/>
          <w:sz w:val="31"/>
          <w:szCs w:val="31"/>
        </w:rPr>
        <w:t xml:space="preserve">  </w:t>
      </w:r>
      <w:r>
        <w:rPr>
          <w:rFonts w:hint="eastAsia" w:asciiTheme="majorEastAsia" w:hAnsiTheme="majorEastAsia" w:eastAsiaTheme="majorEastAsia" w:cstheme="majorEastAsia"/>
          <w:b/>
          <w:bCs/>
          <w:sz w:val="31"/>
          <w:szCs w:val="31"/>
        </w:rPr>
        <w:t>部门概况</w:t>
      </w:r>
    </w:p>
    <w:p w14:paraId="03128674">
      <w:pPr>
        <w:spacing w:before="249" w:line="223" w:lineRule="auto"/>
        <w:ind w:left="40"/>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z w:val="31"/>
          <w:szCs w:val="31"/>
        </w:rPr>
        <w:t>一、部门职责</w:t>
      </w:r>
    </w:p>
    <w:p w14:paraId="0C0E4B11">
      <w:pPr>
        <w:spacing w:before="250" w:line="222" w:lineRule="auto"/>
        <w:ind w:left="45"/>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7"/>
          <w:sz w:val="31"/>
          <w:szCs w:val="31"/>
        </w:rPr>
        <w:t>二、机构设置及部门决算单位构成</w:t>
      </w:r>
    </w:p>
    <w:p w14:paraId="6479122B">
      <w:pPr>
        <w:spacing w:before="250" w:line="223" w:lineRule="auto"/>
        <w:ind w:left="49"/>
        <w:outlineLvl w:val="1"/>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b/>
          <w:bCs/>
          <w:spacing w:val="2"/>
          <w:sz w:val="31"/>
          <w:szCs w:val="31"/>
        </w:rPr>
        <w:t>第二部分</w:t>
      </w:r>
      <w:r>
        <w:rPr>
          <w:rFonts w:hint="eastAsia" w:asciiTheme="majorEastAsia" w:hAnsiTheme="majorEastAsia" w:eastAsiaTheme="majorEastAsia" w:cstheme="majorEastAsia"/>
          <w:spacing w:val="2"/>
          <w:sz w:val="31"/>
          <w:szCs w:val="31"/>
        </w:rPr>
        <w:t xml:space="preserve"> </w:t>
      </w:r>
      <w:r>
        <w:rPr>
          <w:rFonts w:hint="eastAsia" w:asciiTheme="majorEastAsia" w:hAnsiTheme="majorEastAsia" w:eastAsiaTheme="majorEastAsia" w:cstheme="majorEastAsia"/>
          <w:b/>
          <w:bCs/>
          <w:spacing w:val="2"/>
          <w:sz w:val="31"/>
          <w:szCs w:val="31"/>
        </w:rPr>
        <w:t>2023</w:t>
      </w:r>
      <w:r>
        <w:rPr>
          <w:rFonts w:hint="eastAsia" w:asciiTheme="majorEastAsia" w:hAnsiTheme="majorEastAsia" w:eastAsiaTheme="majorEastAsia" w:cstheme="majorEastAsia"/>
          <w:spacing w:val="-36"/>
          <w:sz w:val="31"/>
          <w:szCs w:val="31"/>
        </w:rPr>
        <w:t xml:space="preserve"> </w:t>
      </w:r>
      <w:r>
        <w:rPr>
          <w:rFonts w:hint="eastAsia" w:asciiTheme="majorEastAsia" w:hAnsiTheme="majorEastAsia" w:eastAsiaTheme="majorEastAsia" w:cstheme="majorEastAsia"/>
          <w:b/>
          <w:bCs/>
          <w:spacing w:val="2"/>
          <w:sz w:val="31"/>
          <w:szCs w:val="31"/>
        </w:rPr>
        <w:t>年度部门决算表</w:t>
      </w:r>
    </w:p>
    <w:p w14:paraId="4B2CEC24">
      <w:pPr>
        <w:spacing w:before="250" w:line="223" w:lineRule="auto"/>
        <w:ind w:left="40"/>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4"/>
          <w:sz w:val="31"/>
          <w:szCs w:val="31"/>
        </w:rPr>
        <w:t>一、收入支出决算总表</w:t>
      </w:r>
    </w:p>
    <w:p w14:paraId="2CFE5BD8">
      <w:pPr>
        <w:spacing w:before="250" w:line="223" w:lineRule="auto"/>
        <w:ind w:left="45"/>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5"/>
          <w:sz w:val="31"/>
          <w:szCs w:val="31"/>
        </w:rPr>
        <w:t>二、收入决算表</w:t>
      </w:r>
    </w:p>
    <w:p w14:paraId="5FD6E505">
      <w:pPr>
        <w:spacing w:before="249" w:line="223" w:lineRule="auto"/>
        <w:ind w:left="44"/>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5"/>
          <w:sz w:val="31"/>
          <w:szCs w:val="31"/>
        </w:rPr>
        <w:t>三、支出决算表</w:t>
      </w:r>
    </w:p>
    <w:p w14:paraId="4E8F2D38">
      <w:pPr>
        <w:spacing w:before="250" w:line="223" w:lineRule="auto"/>
        <w:ind w:left="73"/>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5"/>
          <w:sz w:val="31"/>
          <w:szCs w:val="31"/>
        </w:rPr>
        <w:t>四、财政拨款收入支出决算总表</w:t>
      </w:r>
    </w:p>
    <w:p w14:paraId="36D7669E">
      <w:pPr>
        <w:spacing w:before="249" w:line="223" w:lineRule="auto"/>
        <w:ind w:left="40"/>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8"/>
          <w:sz w:val="31"/>
          <w:szCs w:val="31"/>
        </w:rPr>
        <w:t>五、一般公共预算财政拨款支出决算表</w:t>
      </w:r>
    </w:p>
    <w:p w14:paraId="0BB63273">
      <w:pPr>
        <w:spacing w:before="250" w:line="223" w:lineRule="auto"/>
        <w:ind w:left="38"/>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8"/>
          <w:sz w:val="31"/>
          <w:szCs w:val="31"/>
        </w:rPr>
        <w:t>六、一般公共预算财政拨款基本支出决算明细表</w:t>
      </w:r>
    </w:p>
    <w:p w14:paraId="5A23F815">
      <w:pPr>
        <w:spacing w:before="251" w:line="221" w:lineRule="auto"/>
        <w:ind w:left="41"/>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7"/>
          <w:sz w:val="31"/>
          <w:szCs w:val="31"/>
        </w:rPr>
        <w:t>七、政府性基金预算财政拨款收入支出决算表</w:t>
      </w:r>
    </w:p>
    <w:p w14:paraId="53617269">
      <w:pPr>
        <w:spacing w:before="252" w:line="223" w:lineRule="auto"/>
        <w:ind w:left="34"/>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5"/>
          <w:sz w:val="31"/>
          <w:szCs w:val="31"/>
        </w:rPr>
        <w:t>八、</w:t>
      </w:r>
      <w:r>
        <w:rPr>
          <w:rFonts w:hint="eastAsia" w:asciiTheme="majorEastAsia" w:hAnsiTheme="majorEastAsia" w:eastAsiaTheme="majorEastAsia" w:cstheme="majorEastAsia"/>
          <w:spacing w:val="-82"/>
          <w:sz w:val="31"/>
          <w:szCs w:val="31"/>
        </w:rPr>
        <w:t xml:space="preserve"> </w:t>
      </w:r>
      <w:r>
        <w:rPr>
          <w:rFonts w:hint="eastAsia" w:asciiTheme="majorEastAsia" w:hAnsiTheme="majorEastAsia" w:eastAsiaTheme="majorEastAsia" w:cstheme="majorEastAsia"/>
          <w:spacing w:val="5"/>
          <w:sz w:val="31"/>
          <w:szCs w:val="31"/>
        </w:rPr>
        <w:t>国有资本经营预算财政拨款支出决算表</w:t>
      </w:r>
    </w:p>
    <w:p w14:paraId="6F70CA55">
      <w:pPr>
        <w:spacing w:before="249" w:line="223" w:lineRule="auto"/>
        <w:ind w:left="47"/>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8"/>
          <w:sz w:val="31"/>
          <w:szCs w:val="31"/>
        </w:rPr>
        <w:t>九、财政拨款“三公”经费支出决算表</w:t>
      </w:r>
    </w:p>
    <w:p w14:paraId="54D20CE5">
      <w:pPr>
        <w:spacing w:before="250" w:line="223" w:lineRule="auto"/>
        <w:ind w:left="44"/>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6"/>
          <w:sz w:val="31"/>
          <w:szCs w:val="31"/>
        </w:rPr>
        <w:t>十、部门预算项目支出绩效自评表</w:t>
      </w:r>
    </w:p>
    <w:p w14:paraId="6351C291">
      <w:pPr>
        <w:spacing w:before="249" w:line="223" w:lineRule="auto"/>
        <w:ind w:left="49"/>
        <w:outlineLvl w:val="1"/>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b/>
          <w:bCs/>
          <w:spacing w:val="3"/>
          <w:sz w:val="31"/>
          <w:szCs w:val="31"/>
        </w:rPr>
        <w:t>第三部分</w:t>
      </w:r>
      <w:r>
        <w:rPr>
          <w:rFonts w:hint="eastAsia" w:asciiTheme="majorEastAsia" w:hAnsiTheme="majorEastAsia" w:eastAsiaTheme="majorEastAsia" w:cstheme="majorEastAsia"/>
          <w:spacing w:val="3"/>
          <w:sz w:val="31"/>
          <w:szCs w:val="31"/>
        </w:rPr>
        <w:t xml:space="preserve">  </w:t>
      </w:r>
      <w:r>
        <w:rPr>
          <w:rFonts w:hint="eastAsia" w:asciiTheme="majorEastAsia" w:hAnsiTheme="majorEastAsia" w:eastAsiaTheme="majorEastAsia" w:cstheme="majorEastAsia"/>
          <w:b/>
          <w:bCs/>
          <w:spacing w:val="3"/>
          <w:sz w:val="31"/>
          <w:szCs w:val="31"/>
        </w:rPr>
        <w:t>2023</w:t>
      </w:r>
      <w:r>
        <w:rPr>
          <w:rFonts w:hint="eastAsia" w:asciiTheme="majorEastAsia" w:hAnsiTheme="majorEastAsia" w:eastAsiaTheme="majorEastAsia" w:cstheme="majorEastAsia"/>
          <w:spacing w:val="-37"/>
          <w:sz w:val="31"/>
          <w:szCs w:val="31"/>
        </w:rPr>
        <w:t xml:space="preserve"> </w:t>
      </w:r>
      <w:r>
        <w:rPr>
          <w:rFonts w:hint="eastAsia" w:asciiTheme="majorEastAsia" w:hAnsiTheme="majorEastAsia" w:eastAsiaTheme="majorEastAsia" w:cstheme="majorEastAsia"/>
          <w:b/>
          <w:bCs/>
          <w:spacing w:val="3"/>
          <w:sz w:val="31"/>
          <w:szCs w:val="31"/>
        </w:rPr>
        <w:t>年度部门决算情况说明</w:t>
      </w:r>
    </w:p>
    <w:p w14:paraId="5891CEB1">
      <w:pPr>
        <w:spacing w:before="250" w:line="223" w:lineRule="auto"/>
        <w:ind w:left="40"/>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5"/>
          <w:sz w:val="31"/>
          <w:szCs w:val="31"/>
        </w:rPr>
        <w:t>一、收入支出决算总体情况说明</w:t>
      </w:r>
    </w:p>
    <w:p w14:paraId="21C01949">
      <w:pPr>
        <w:spacing w:before="250" w:line="223" w:lineRule="auto"/>
        <w:ind w:left="45"/>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6"/>
          <w:sz w:val="31"/>
          <w:szCs w:val="31"/>
        </w:rPr>
        <w:t>二、收入决算情况说明</w:t>
      </w:r>
    </w:p>
    <w:p w14:paraId="3468C865">
      <w:pPr>
        <w:spacing w:before="250" w:line="223" w:lineRule="auto"/>
        <w:ind w:left="44"/>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6"/>
          <w:sz w:val="31"/>
          <w:szCs w:val="31"/>
        </w:rPr>
        <w:t>三、支出决算情况说明</w:t>
      </w:r>
    </w:p>
    <w:p w14:paraId="01CC0ADE">
      <w:pPr>
        <w:spacing w:before="249" w:line="223" w:lineRule="auto"/>
        <w:ind w:left="73"/>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6"/>
          <w:sz w:val="31"/>
          <w:szCs w:val="31"/>
        </w:rPr>
        <w:t>四、财政拨款收入支出决算总体情况说明</w:t>
      </w:r>
    </w:p>
    <w:p w14:paraId="5123C4D4">
      <w:pPr>
        <w:spacing w:line="223" w:lineRule="auto"/>
        <w:rPr>
          <w:rFonts w:hint="eastAsia" w:asciiTheme="majorEastAsia" w:hAnsiTheme="majorEastAsia" w:eastAsiaTheme="majorEastAsia" w:cstheme="majorEastAsia"/>
          <w:sz w:val="31"/>
          <w:szCs w:val="31"/>
        </w:rPr>
        <w:sectPr>
          <w:footerReference r:id="rId6" w:type="default"/>
          <w:pgSz w:w="11907" w:h="16839"/>
          <w:pgMar w:top="1431" w:right="1785" w:bottom="1153" w:left="1785" w:header="0" w:footer="965" w:gutter="0"/>
          <w:cols w:space="720" w:num="1"/>
        </w:sectPr>
      </w:pPr>
    </w:p>
    <w:p w14:paraId="396D5F08">
      <w:pPr>
        <w:spacing w:before="159" w:line="223" w:lineRule="auto"/>
        <w:ind w:left="40"/>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8"/>
          <w:sz w:val="31"/>
          <w:szCs w:val="31"/>
        </w:rPr>
        <w:t>五、一般公共预算财政拨款支出决算情况说明</w:t>
      </w:r>
    </w:p>
    <w:p w14:paraId="1D80CEAA">
      <w:pPr>
        <w:spacing w:before="249" w:line="223" w:lineRule="auto"/>
        <w:ind w:left="38"/>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8"/>
          <w:sz w:val="31"/>
          <w:szCs w:val="31"/>
        </w:rPr>
        <w:t>六、一般公共预算财政拨款基本支出决算情况说明</w:t>
      </w:r>
    </w:p>
    <w:p w14:paraId="46BE40B5">
      <w:pPr>
        <w:spacing w:before="250" w:line="221" w:lineRule="auto"/>
        <w:ind w:left="41"/>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8"/>
          <w:sz w:val="31"/>
          <w:szCs w:val="31"/>
        </w:rPr>
        <w:t>七、政府性基金预算财政拨款收入支出决算情况说明</w:t>
      </w:r>
    </w:p>
    <w:p w14:paraId="6D978958">
      <w:pPr>
        <w:spacing w:before="251" w:line="223" w:lineRule="auto"/>
        <w:ind w:left="34"/>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6"/>
          <w:sz w:val="31"/>
          <w:szCs w:val="31"/>
        </w:rPr>
        <w:t>八、</w:t>
      </w:r>
      <w:r>
        <w:rPr>
          <w:rFonts w:hint="eastAsia" w:asciiTheme="majorEastAsia" w:hAnsiTheme="majorEastAsia" w:eastAsiaTheme="majorEastAsia" w:cstheme="majorEastAsia"/>
          <w:spacing w:val="-91"/>
          <w:sz w:val="31"/>
          <w:szCs w:val="31"/>
        </w:rPr>
        <w:t xml:space="preserve"> </w:t>
      </w:r>
      <w:r>
        <w:rPr>
          <w:rFonts w:hint="eastAsia" w:asciiTheme="majorEastAsia" w:hAnsiTheme="majorEastAsia" w:eastAsiaTheme="majorEastAsia" w:cstheme="majorEastAsia"/>
          <w:spacing w:val="6"/>
          <w:sz w:val="31"/>
          <w:szCs w:val="31"/>
        </w:rPr>
        <w:t>国有资本经营预算财政拨款支出决算情况说明</w:t>
      </w:r>
    </w:p>
    <w:p w14:paraId="5AB568C9">
      <w:pPr>
        <w:spacing w:before="250" w:line="223" w:lineRule="auto"/>
        <w:ind w:left="47"/>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8"/>
          <w:sz w:val="31"/>
          <w:szCs w:val="31"/>
        </w:rPr>
        <w:t>九、财政拨款“三公”经费支出决算情况说明</w:t>
      </w:r>
    </w:p>
    <w:p w14:paraId="318BC156">
      <w:pPr>
        <w:spacing w:before="249" w:line="224" w:lineRule="auto"/>
        <w:ind w:left="44"/>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6"/>
          <w:sz w:val="31"/>
          <w:szCs w:val="31"/>
        </w:rPr>
        <w:t>十、绩效评价情况说明</w:t>
      </w:r>
    </w:p>
    <w:p w14:paraId="5B7FA2D4">
      <w:pPr>
        <w:spacing w:before="248" w:line="223" w:lineRule="auto"/>
        <w:ind w:left="44"/>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spacing w:val="7"/>
          <w:sz w:val="31"/>
          <w:szCs w:val="31"/>
        </w:rPr>
        <w:t>十一、其他重要事项情况说明</w:t>
      </w:r>
    </w:p>
    <w:p w14:paraId="2727B7E1">
      <w:pPr>
        <w:spacing w:before="250" w:line="224" w:lineRule="auto"/>
        <w:ind w:left="49"/>
        <w:rPr>
          <w:rFonts w:hint="eastAsia" w:asciiTheme="majorEastAsia" w:hAnsiTheme="majorEastAsia" w:eastAsiaTheme="majorEastAsia" w:cstheme="majorEastAsia"/>
          <w:sz w:val="31"/>
          <w:szCs w:val="31"/>
        </w:rPr>
      </w:pPr>
      <w:r>
        <w:rPr>
          <w:rFonts w:hint="eastAsia" w:asciiTheme="majorEastAsia" w:hAnsiTheme="majorEastAsia" w:eastAsiaTheme="majorEastAsia" w:cstheme="majorEastAsia"/>
          <w:b/>
          <w:bCs/>
          <w:sz w:val="31"/>
          <w:szCs w:val="31"/>
        </w:rPr>
        <w:t>第四部分</w:t>
      </w:r>
      <w:r>
        <w:rPr>
          <w:rFonts w:hint="eastAsia" w:asciiTheme="majorEastAsia" w:hAnsiTheme="majorEastAsia" w:eastAsiaTheme="majorEastAsia" w:cstheme="majorEastAsia"/>
          <w:spacing w:val="18"/>
          <w:sz w:val="31"/>
          <w:szCs w:val="31"/>
        </w:rPr>
        <w:t xml:space="preserve">  </w:t>
      </w:r>
      <w:r>
        <w:rPr>
          <w:rFonts w:hint="eastAsia" w:asciiTheme="majorEastAsia" w:hAnsiTheme="majorEastAsia" w:eastAsiaTheme="majorEastAsia" w:cstheme="majorEastAsia"/>
          <w:b/>
          <w:bCs/>
          <w:sz w:val="31"/>
          <w:szCs w:val="31"/>
        </w:rPr>
        <w:t>名词解释</w:t>
      </w:r>
    </w:p>
    <w:p w14:paraId="69AEE0DB">
      <w:pPr>
        <w:spacing w:line="224" w:lineRule="auto"/>
        <w:rPr>
          <w:rFonts w:hint="eastAsia" w:asciiTheme="majorEastAsia" w:hAnsiTheme="majorEastAsia" w:eastAsiaTheme="majorEastAsia" w:cstheme="majorEastAsia"/>
          <w:sz w:val="31"/>
          <w:szCs w:val="31"/>
        </w:rPr>
        <w:sectPr>
          <w:footerReference r:id="rId7" w:type="default"/>
          <w:pgSz w:w="11907" w:h="16839"/>
          <w:pgMar w:top="1431" w:right="1785" w:bottom="1153" w:left="1785" w:header="0" w:footer="965" w:gutter="0"/>
          <w:cols w:space="720" w:num="1"/>
        </w:sectPr>
      </w:pPr>
    </w:p>
    <w:p w14:paraId="23FDE669">
      <w:pPr>
        <w:pStyle w:val="3"/>
        <w:spacing w:line="328" w:lineRule="auto"/>
      </w:pPr>
    </w:p>
    <w:p w14:paraId="4AFF4680">
      <w:pPr>
        <w:pStyle w:val="3"/>
        <w:spacing w:line="328" w:lineRule="auto"/>
        <w:rPr>
          <w:rFonts w:hint="eastAsia" w:ascii="仿宋_GB2312" w:hAnsi="仿宋_GB2312" w:eastAsia="仿宋_GB2312" w:cs="仿宋_GB2312"/>
        </w:rPr>
      </w:pPr>
    </w:p>
    <w:p w14:paraId="04A32AEA">
      <w:pPr>
        <w:spacing w:before="189" w:line="443" w:lineRule="exact"/>
        <w:ind w:left="2215"/>
        <w:outlineLvl w:val="0"/>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1"/>
          <w:position w:val="-2"/>
          <w:sz w:val="44"/>
          <w:szCs w:val="44"/>
        </w:rPr>
        <w:t>第一部分</w:t>
      </w:r>
      <w:r>
        <w:rPr>
          <w:rFonts w:hint="eastAsia" w:asciiTheme="majorEastAsia" w:hAnsiTheme="majorEastAsia" w:eastAsiaTheme="majorEastAsia" w:cstheme="majorEastAsia"/>
          <w:b/>
          <w:bCs/>
          <w:spacing w:val="14"/>
          <w:position w:val="-2"/>
          <w:sz w:val="44"/>
          <w:szCs w:val="44"/>
        </w:rPr>
        <w:t xml:space="preserve">   </w:t>
      </w:r>
      <w:r>
        <w:rPr>
          <w:rFonts w:hint="eastAsia" w:asciiTheme="majorEastAsia" w:hAnsiTheme="majorEastAsia" w:eastAsiaTheme="majorEastAsia" w:cstheme="majorEastAsia"/>
          <w:b/>
          <w:bCs/>
          <w:spacing w:val="1"/>
          <w:position w:val="-2"/>
          <w:sz w:val="44"/>
          <w:szCs w:val="44"/>
        </w:rPr>
        <w:t>部门概况</w:t>
      </w:r>
    </w:p>
    <w:p w14:paraId="564D6917">
      <w:pPr>
        <w:keepNext w:val="0"/>
        <w:keepLines w:val="0"/>
        <w:pageBreakBefore w:val="0"/>
        <w:widowControl/>
        <w:kinsoku w:val="0"/>
        <w:wordWrap/>
        <w:overflowPunct/>
        <w:topLinePunct w:val="0"/>
        <w:autoSpaceDE w:val="0"/>
        <w:autoSpaceDN w:val="0"/>
        <w:bidi w:val="0"/>
        <w:adjustRightInd w:val="0"/>
        <w:snapToGrid w:val="0"/>
        <w:spacing w:before="251" w:line="360" w:lineRule="auto"/>
        <w:textAlignment w:val="baseline"/>
        <w:rPr>
          <w:rFonts w:hint="eastAsia" w:ascii="仿宋_GB2312" w:hAnsi="仿宋_GB2312" w:eastAsia="仿宋_GB2312" w:cs="仿宋_GB2312"/>
          <w:b/>
          <w:bCs/>
          <w:spacing w:val="8"/>
          <w:sz w:val="32"/>
          <w:szCs w:val="32"/>
        </w:rPr>
      </w:pPr>
    </w:p>
    <w:p w14:paraId="3A6BB970">
      <w:pPr>
        <w:keepNext w:val="0"/>
        <w:keepLines w:val="0"/>
        <w:pageBreakBefore w:val="0"/>
        <w:widowControl/>
        <w:kinsoku w:val="0"/>
        <w:wordWrap/>
        <w:overflowPunct/>
        <w:topLinePunct w:val="0"/>
        <w:autoSpaceDE w:val="0"/>
        <w:autoSpaceDN w:val="0"/>
        <w:bidi w:val="0"/>
        <w:adjustRightInd w:val="0"/>
        <w:snapToGrid w:val="0"/>
        <w:spacing w:before="251" w:line="360" w:lineRule="auto"/>
        <w:ind w:left="672" w:firstLine="337" w:firstLineChars="100"/>
        <w:textAlignment w:val="baseline"/>
        <w:rPr>
          <w:rFonts w:hint="eastAsia" w:ascii="仿宋_GB2312" w:hAnsi="仿宋_GB2312" w:eastAsia="仿宋_GB2312" w:cs="仿宋_GB2312"/>
          <w:b/>
          <w:bCs/>
          <w:spacing w:val="8"/>
          <w:sz w:val="32"/>
          <w:szCs w:val="32"/>
        </w:rPr>
      </w:pPr>
      <w:r>
        <w:rPr>
          <w:rFonts w:hint="eastAsia" w:ascii="仿宋_GB2312" w:hAnsi="仿宋_GB2312" w:eastAsia="仿宋_GB2312" w:cs="仿宋_GB2312"/>
          <w:b/>
          <w:bCs/>
          <w:spacing w:val="8"/>
          <w:sz w:val="32"/>
          <w:szCs w:val="32"/>
        </w:rPr>
        <w:t>一、部门主要职责</w:t>
      </w:r>
    </w:p>
    <w:p w14:paraId="2C3DDE8E">
      <w:pPr>
        <w:spacing w:before="101" w:line="218" w:lineRule="exact"/>
        <w:rPr>
          <w:rFonts w:hint="eastAsia" w:ascii="仿宋_GB2312" w:hAnsi="仿宋_GB2312" w:eastAsia="仿宋_GB2312" w:cs="仿宋_GB2312"/>
          <w:sz w:val="32"/>
        </w:rPr>
      </w:pPr>
    </w:p>
    <w:p w14:paraId="53CB0B5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高新社区卫生服务中心职责</w:t>
      </w:r>
    </w:p>
    <w:p w14:paraId="063ECF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1.贯彻执行国家有关法律、法规、规章和标准，遵守各项规章制度。</w:t>
      </w:r>
    </w:p>
    <w:p w14:paraId="036A21B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2.以妇女、儿童、老年人、慢性病</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居民为重点，开展医疗、预防、保健、康复、健康教育指导的综合基层卫生服务。</w:t>
      </w:r>
    </w:p>
    <w:p w14:paraId="2ADDE3C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3.全面了解和掌握社区人口基本信息、居民健康状况和卫生需求，并根据管理要求采取相应的干预措施。</w:t>
      </w:r>
    </w:p>
    <w:p w14:paraId="41190A4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4.开展常见病、多发病的诊治工作,实行双向转诊制度，严格执行诊疗、护理技术操作规范，严防差错事故。</w:t>
      </w:r>
    </w:p>
    <w:p w14:paraId="6E9CA0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5.严格执行国家基本药物制度，实行零差率销售。</w:t>
      </w:r>
    </w:p>
    <w:p w14:paraId="21925FA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6.建立社区居民健康档案，并做好档案的归档和动态管理。</w:t>
      </w:r>
    </w:p>
    <w:p w14:paraId="38A19BE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7.落实老年人保健工作，实行动态管理，加强老年人健康保健知识宣教，开展老年人健康体检工作。</w:t>
      </w:r>
    </w:p>
    <w:p w14:paraId="3CD4B18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8.落实儿童保健管理工作，建立0-6岁儿童（包括居住半年以上的流动）儿童资料，开展新生儿访视。</w:t>
      </w:r>
    </w:p>
    <w:p w14:paraId="7F75A0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9.掌握辖区内妇女健康状况。配合相关部门开展社区常见疾病普查、普治。负责对孕妇及孕妇家庭进行保健指导，开展</w:t>
      </w:r>
      <w:r>
        <w:rPr>
          <w:rFonts w:hint="eastAsia" w:ascii="仿宋_GB2312" w:hAnsi="仿宋_GB2312" w:eastAsia="仿宋_GB2312" w:cs="仿宋_GB2312"/>
          <w:sz w:val="32"/>
          <w:szCs w:val="32"/>
          <w:lang w:val="en-US" w:eastAsia="zh-CN"/>
        </w:rPr>
        <w:t>产</w:t>
      </w:r>
      <w:r>
        <w:rPr>
          <w:rFonts w:hint="eastAsia" w:ascii="仿宋_GB2312" w:hAnsi="仿宋_GB2312" w:eastAsia="仿宋_GB2312" w:cs="仿宋_GB2312"/>
          <w:sz w:val="32"/>
          <w:szCs w:val="32"/>
        </w:rPr>
        <w:t>后访视、产后避孕及产后恢复指导。</w:t>
      </w:r>
    </w:p>
    <w:p w14:paraId="19DE3F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10.协助做好计划免疫接种工作，负责辖区内适龄儿童的</w:t>
      </w:r>
      <w:r>
        <w:rPr>
          <w:rFonts w:hint="eastAsia" w:ascii="仿宋_GB2312" w:hAnsi="仿宋_GB2312" w:eastAsia="仿宋_GB2312" w:cs="仿宋_GB2312"/>
          <w:sz w:val="32"/>
          <w:szCs w:val="32"/>
          <w:lang w:val="en-US" w:eastAsia="zh-CN"/>
        </w:rPr>
        <w:t>摸底调查</w:t>
      </w:r>
      <w:r>
        <w:rPr>
          <w:rFonts w:hint="eastAsia" w:ascii="仿宋_GB2312" w:hAnsi="仿宋_GB2312" w:eastAsia="仿宋_GB2312" w:cs="仿宋_GB2312"/>
          <w:sz w:val="32"/>
          <w:szCs w:val="32"/>
        </w:rPr>
        <w:t>和接种</w:t>
      </w:r>
      <w:r>
        <w:rPr>
          <w:rFonts w:hint="eastAsia" w:ascii="仿宋_GB2312" w:hAnsi="仿宋_GB2312" w:eastAsia="仿宋_GB2312" w:cs="仿宋_GB2312"/>
          <w:sz w:val="32"/>
          <w:szCs w:val="32"/>
          <w:lang w:val="en-US" w:eastAsia="zh-CN"/>
        </w:rPr>
        <w:t>告知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ab/>
      </w:r>
    </w:p>
    <w:p w14:paraId="790B06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11.掌握本辖区高血压、糖尿病等各类慢性非传染疾病的发病情况。按慢病监测管理要求，建立慢病管理档案，实行分类管理。</w:t>
      </w:r>
    </w:p>
    <w:p w14:paraId="08352E0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12.做好社区残疾人、精神病人的医疗康复服务，建立健康档案，指导康复训练。</w:t>
      </w:r>
    </w:p>
    <w:p w14:paraId="6B4D18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13.开展健康教育宣传、咨询与指导，结合社区情况制订健康教育计划，定期开展健康教育讲座，入户发放资料，宣传栏内容及时更新。</w:t>
      </w:r>
    </w:p>
    <w:p w14:paraId="7A29382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14.做好传染病管理工作，协助开展流行病学调查,配合开展疫点消杀、传染病病人居家隔离观察、死因调查等工作。做好传染病报告工作。</w:t>
      </w:r>
    </w:p>
    <w:p w14:paraId="4F0F729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15.负责结核病人督导管理，定期随访，指导服药。</w:t>
      </w:r>
    </w:p>
    <w:p w14:paraId="760E05E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16.做好各类信息数据的收集、统计和分析，建立台账，并做好报告工作。</w:t>
      </w:r>
    </w:p>
    <w:p w14:paraId="4F54DD1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17.按时参加上级组织的各类工作会议和业务培训，提高服务水平。</w:t>
      </w:r>
    </w:p>
    <w:p w14:paraId="77918E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p>
    <w:p w14:paraId="368E6580">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各科室职责</w:t>
      </w:r>
    </w:p>
    <w:p w14:paraId="202956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（一）医技科职责</w:t>
      </w:r>
    </w:p>
    <w:p w14:paraId="4617A39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1.检验科</w:t>
      </w:r>
    </w:p>
    <w:p w14:paraId="14F0F0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（1）贯彻落实《医疗机构临床实验室管理办法》等相关法律、法规和规章、规范。制定相应的工作制度与规程，由具有相应专业技术职称的人员进行临床检验工作。有计划对在职人员进行技能培训及考核。</w:t>
      </w:r>
    </w:p>
    <w:p w14:paraId="5B1B125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（2）承担并完成本院交给的有关医疗、教学、科研等各项任务。</w:t>
      </w:r>
    </w:p>
    <w:p w14:paraId="540A8F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（3）标本采集、运送、签收、核查和保存工作。</w:t>
      </w:r>
    </w:p>
    <w:p w14:paraId="37C667A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（4）登记或核对患者的基本信息，审核检验结果，填写检验登记和检验报告单，签名后发出检验报告。</w:t>
      </w:r>
    </w:p>
    <w:p w14:paraId="4F752A5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（5）加强实验室安全管理和防护，包括生物安全及化学危险品防火等安全防护工作，完善安全管理规章制度并组织落实。</w:t>
      </w:r>
    </w:p>
    <w:p w14:paraId="5D3E0C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（6）应征求临床科室对检验服务的意见及建议，尽可能满足临床诊疗活动需要，采用多种形式为临床科室提供临床检验信息。</w:t>
      </w:r>
    </w:p>
    <w:p w14:paraId="59BC32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2.X线科</w:t>
      </w:r>
    </w:p>
    <w:p w14:paraId="782D218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（1）Ⅹ线检查时凭临床医师详细填写申请单进行检查。</w:t>
      </w:r>
    </w:p>
    <w:p w14:paraId="3868B9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（2）建立与完善医学影像操作常规与图像质量控制标准，重要摄片，由医师确定授照部位及技术。特检摄片和重要摄片待观察湿片合格后方嘱病人离开。建立病人确认程序，确保检查正确无误，保障病人安全。</w:t>
      </w:r>
    </w:p>
    <w:p w14:paraId="74DE82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（3）按规定的时限，由执业医师按规范书写诊断报告，X线诊断要密切结合临床。</w:t>
      </w:r>
    </w:p>
    <w:p w14:paraId="140B9EC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（4）严格遵守操作规程，确实做好操作人员及患者的放射防护工作，保护患者的隐私。工作人员要定期进行健康检查，并要妥善安排休假。</w:t>
      </w:r>
    </w:p>
    <w:p w14:paraId="4A8A8EA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3.电诊室</w:t>
      </w:r>
    </w:p>
    <w:p w14:paraId="4C4EA5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（1）在社区中心主任和本科室科长的领导下，做好电诊室的</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常工作。</w:t>
      </w:r>
    </w:p>
    <w:p w14:paraId="718BDA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（2）认真执行各项制度和技术操作规程。</w:t>
      </w:r>
    </w:p>
    <w:p w14:paraId="0731B8F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（3）认真执行技术操作规程，了解患者需要，尊重患者隐私，提高电诊质量。</w:t>
      </w:r>
    </w:p>
    <w:p w14:paraId="59E81D3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（4）认真查对电诊结果，并与临床医师联系，结合临床做出正确诊断，防止差错发生。</w:t>
      </w:r>
    </w:p>
    <w:p w14:paraId="32316DA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）药剂科职责</w:t>
      </w:r>
    </w:p>
    <w:p w14:paraId="284AC9C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1.在社区中心主任和本科室科长领导下，按《药品管理法》及其《实施办法》监督、检查本院各医疗科室合理使用药品，防止滥用和浪费。</w:t>
      </w:r>
    </w:p>
    <w:p w14:paraId="14E57F8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2.根据本院医疗需要，采购药品，做好药品供应。</w:t>
      </w:r>
    </w:p>
    <w:p w14:paraId="2CCE1A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3.加强药品质量管理，建立、健全药品监督和检验制度，以保证临床用药安全有效。做好用药咨询，结合临床搞好医疗工作。</w:t>
      </w:r>
    </w:p>
    <w:p w14:paraId="688F35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）财务科职责</w:t>
      </w:r>
    </w:p>
    <w:p w14:paraId="5B6951B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1.执行财经政策，加强财务监督，严格财经纪律，财会人员要以身作则，奉公守法，同一切盗窃违法乱纪行为作斗争。</w:t>
      </w:r>
    </w:p>
    <w:p w14:paraId="45F2C5C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2.严格执行物价政策，合理组织收入，严格控制支出，杜绝预算外和计划外开支。</w:t>
      </w:r>
    </w:p>
    <w:p w14:paraId="09DAC3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3.根据本中心实际，正确编制年度财务(预算)表，加强本中心的经济管理，并会同有关科室做好经济核算管理工作。</w:t>
      </w:r>
    </w:p>
    <w:p w14:paraId="663856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一切开支须经社区中心主任同意，并取得合法凭证(发票账本等)由经手人，验收人和社区中心主任签字后，方能报销。一切空白字条，不能作为正式凭据，出差或因公借支，须经院领导批准，任务完成后及时办理结账报销手续。</w:t>
      </w:r>
    </w:p>
    <w:p w14:paraId="46974A6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5.会计人员要及时清理债权和债务防止拖欠，减少呆帐。</w:t>
      </w:r>
    </w:p>
    <w:p w14:paraId="762333D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6.与有关科室配合，定期对房屋、设备、家具、药品、器械等本中心资产进行经常监督，及时清查库存防止浪费和积压。</w:t>
      </w:r>
    </w:p>
    <w:p w14:paraId="0AB257D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7.每日收入现金按当日送存银行，库存现金不得超过银行规定限额。出纳和收费人员不得以长补短，如有差错，由经手人详细登记，每月</w:t>
      </w:r>
    </w:p>
    <w:p w14:paraId="6AC4399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集中讨论，找出原因后报领导批示处理。</w:t>
      </w:r>
    </w:p>
    <w:p w14:paraId="6865376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8.原始凭证、账本、工资清册，财务决算等资料以及会计人员交接均按财政部门规定办理。</w:t>
      </w:r>
    </w:p>
    <w:p w14:paraId="3DB7507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）办公室职责</w:t>
      </w:r>
    </w:p>
    <w:p w14:paraId="1027EE0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1.在社区中心主任领导下，围绕本中心工作，做好后勤保障。坚持以病人为中心的服务理念，满足医疗服务需要。</w:t>
      </w:r>
    </w:p>
    <w:p w14:paraId="7F60934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2.负责本中心的正常供水、供电、供气，做好“下收、下送”,保证“三通”，不发生“三漏”，主动及时地为医疗一线服务。</w:t>
      </w:r>
    </w:p>
    <w:p w14:paraId="6562FA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3.根据本中心工作需要，制定并执行各类物资的年度和临时采购计划，急需物资按程序审批后及时采购。严把质量关，所有物资材料必须验收后再办理入库手续。建立账册，定期盘点，防止积压，做到帐物相符。</w:t>
      </w:r>
    </w:p>
    <w:p w14:paraId="6BBCCF0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4.负责后勤设备管理，建立设备档案、健全操作规程、制定各种设备使用交接班制度，维修保养有计划、有措施、有登记,设备常年处于良好状态，保证本中心工作需要。</w:t>
      </w:r>
    </w:p>
    <w:p w14:paraId="754A87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5.负责全中心环境卫生、除四害、医疗废物、生活垃圾、污水处理的管理工作，使之符合国家管理规定。</w:t>
      </w:r>
    </w:p>
    <w:p w14:paraId="5EF279D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6.负责本中心内部治安管理和消防安全工作，确立重点安全保卫部门并每月进行一次安全检查。重大节日前，组织力量对全院进行安全大检查，查岀的问题按管理范围提出整改意见限期解决。</w:t>
      </w:r>
    </w:p>
    <w:p w14:paraId="36F4764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7.定期检查安全设施，保证电子监控、联网报警、消防器材、疏散照明、消防标志的完好有效。制定应对在火灾或自然灾害应急预</w:t>
      </w:r>
      <w:r>
        <w:rPr>
          <w:rFonts w:hint="eastAsia" w:ascii="仿宋_GB2312" w:hAnsi="仿宋_GB2312" w:eastAsia="仿宋_GB2312" w:cs="仿宋_GB2312"/>
          <w:sz w:val="32"/>
          <w:szCs w:val="32"/>
          <w:lang w:val="en-US" w:eastAsia="zh-CN"/>
        </w:rPr>
        <w:t>案</w:t>
      </w:r>
      <w:r>
        <w:rPr>
          <w:rFonts w:hint="eastAsia" w:ascii="仿宋_GB2312" w:hAnsi="仿宋_GB2312" w:eastAsia="仿宋_GB2312" w:cs="仿宋_GB2312"/>
          <w:sz w:val="32"/>
          <w:szCs w:val="32"/>
        </w:rPr>
        <w:t>组织演练。</w:t>
      </w:r>
    </w:p>
    <w:p w14:paraId="47DE13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8.经常深入科室，了解医疗及有关部门的需要和后勤保障中的问题，及时解决科室的需要和工作中存在的问题。</w:t>
      </w:r>
    </w:p>
    <w:p w14:paraId="72DF029E">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主要岗位工作职责</w:t>
      </w:r>
    </w:p>
    <w:p w14:paraId="3D15290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（一）社区中心主任岗位职责</w:t>
      </w:r>
    </w:p>
    <w:p w14:paraId="249821A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1.在上级领导下全面领导医院的工作，包括医疗、预防、人事、财务和总务等工作。</w:t>
      </w:r>
    </w:p>
    <w:p w14:paraId="7337DB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2.领导制订本中心工作计划，按期部署、检查、总结工作，并向上级汇报。</w:t>
      </w:r>
    </w:p>
    <w:p w14:paraId="16EAA1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3.负责组织、检查医疗护理工作，定期深入门诊，并采取积极有效措施，保证不断地提高医疗质量。</w:t>
      </w:r>
    </w:p>
    <w:p w14:paraId="50B9D7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4.教育职工树立全心全意为人民服务的思想和良好的医德，改进医疗作风和工作作风，改善服务态度。督促检查医院各项规章制度和技术操作规程的执行，严防差错事故的发生。</w:t>
      </w:r>
    </w:p>
    <w:p w14:paraId="4A7D873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5.加强对后勤工作的领导，审查物资供应计划，检查督促财务收入开支，审查预决算，关心职工生活。</w:t>
      </w:r>
    </w:p>
    <w:p w14:paraId="433A3D1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6.及时研究处理群众对社区医院工作的意见。</w:t>
      </w:r>
    </w:p>
    <w:p w14:paraId="11E367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）办公室科长职责</w:t>
      </w:r>
    </w:p>
    <w:p w14:paraId="426D3C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1.在社区中心主任领导下，负责全中心的文秘、行政管理工作。</w:t>
      </w:r>
    </w:p>
    <w:p w14:paraId="2359F83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2.安排各种行政会议，做好会议记录，负责中心的工作计划、总结的草拟，并负责督促其贯彻执行。</w:t>
      </w:r>
    </w:p>
    <w:p w14:paraId="00B7B28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3.负责行政文件的收发登记，</w:t>
      </w:r>
      <w:r>
        <w:rPr>
          <w:rFonts w:hint="eastAsia" w:ascii="仿宋_GB2312" w:hAnsi="仿宋_GB2312" w:eastAsia="仿宋_GB2312" w:cs="仿宋_GB2312"/>
          <w:sz w:val="32"/>
          <w:szCs w:val="32"/>
          <w:lang w:val="en-US" w:eastAsia="zh-CN"/>
        </w:rPr>
        <w:t>传递</w:t>
      </w:r>
      <w:r>
        <w:rPr>
          <w:rFonts w:hint="eastAsia" w:ascii="仿宋_GB2312" w:hAnsi="仿宋_GB2312" w:eastAsia="仿宋_GB2312" w:cs="仿宋_GB2312"/>
          <w:sz w:val="32"/>
          <w:szCs w:val="32"/>
        </w:rPr>
        <w:t>传阅、立卷归档、保管等工作。</w:t>
      </w:r>
    </w:p>
    <w:p w14:paraId="1C01FDBC">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4.负责社区中心主任临时交办的其他工作。</w:t>
      </w:r>
    </w:p>
    <w:p w14:paraId="07403FB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）门诊科科长职责</w:t>
      </w:r>
    </w:p>
    <w:p w14:paraId="217F668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1.在社区中心主任领导下，负责本科的医疗、预防及行政管理工作。</w:t>
      </w:r>
    </w:p>
    <w:p w14:paraId="78C73A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2.制定本科工作计划、组织实施、经常监督检查、按期总结汇报。领导本科人员，对病员进行医疗工作，完成医疗任务。</w:t>
      </w:r>
    </w:p>
    <w:p w14:paraId="620E572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3.组织全科人员学习， 督促工作人员认真执行各项规章制度和技术操作常规，严防并及时处理差错事故。</w:t>
      </w:r>
    </w:p>
    <w:p w14:paraId="5AC85C6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）门诊医生职责</w:t>
      </w:r>
    </w:p>
    <w:p w14:paraId="566264C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1.对病员</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检查、诊断、治疗。</w:t>
      </w:r>
    </w:p>
    <w:p w14:paraId="75F5143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认真学习，严格按照各项规章制度和技术操作常规，亲自操作或指导护士进行各种重要的检查和治疗，严防差错事故。</w:t>
      </w:r>
    </w:p>
    <w:p w14:paraId="54A08E6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3.随时了解病员的思想、生活情况，征求病员对医疗护理工作的意见，做好病员的思想工作。</w:t>
      </w:r>
    </w:p>
    <w:p w14:paraId="3C9E283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4.严格按照门诊工作制度进行工作。</w:t>
      </w:r>
    </w:p>
    <w:p w14:paraId="6FE8B4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）门诊护士职责</w:t>
      </w:r>
    </w:p>
    <w:p w14:paraId="69CADD9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按照要求进行预检分诊</w:t>
      </w:r>
      <w:r>
        <w:rPr>
          <w:rFonts w:hint="eastAsia" w:ascii="仿宋_GB2312" w:hAnsi="仿宋_GB2312" w:eastAsia="仿宋_GB2312" w:cs="仿宋_GB2312"/>
          <w:sz w:val="32"/>
          <w:szCs w:val="32"/>
        </w:rPr>
        <w:t>。</w:t>
      </w:r>
    </w:p>
    <w:p w14:paraId="520C6A5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2.负责诊疗室的整洁、安静，维持就诊秩序，做好卫生防病宣传工作。</w:t>
      </w:r>
    </w:p>
    <w:p w14:paraId="6DFB15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3.做好隔离消毒工作，防治交叉感染。</w:t>
      </w:r>
    </w:p>
    <w:p w14:paraId="328FAE1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4.认真执行各项规章制度和技术操作常规，严格查对制度，严防差错事故。</w:t>
      </w:r>
    </w:p>
    <w:p w14:paraId="7E3615B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5.保管好药品器材和其他物品。</w:t>
      </w:r>
    </w:p>
    <w:p w14:paraId="4151F2F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）药剂师职责</w:t>
      </w:r>
    </w:p>
    <w:p w14:paraId="40FEA4F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在科长领导下进行工作。</w:t>
      </w:r>
    </w:p>
    <w:p w14:paraId="24C10DE6">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2.参加药品调配工作，认真执行各项规章制度和技术操作常规，严防差错事故。</w:t>
      </w:r>
    </w:p>
    <w:p w14:paraId="6673B8F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）挂号、收款员职责</w:t>
      </w:r>
    </w:p>
    <w:p w14:paraId="153F819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1.在科长领导下，负责挂号、收款工作。</w:t>
      </w:r>
    </w:p>
    <w:p w14:paraId="3AE1D6E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2.每天工作时间随时挂号、收款。</w:t>
      </w:r>
    </w:p>
    <w:p w14:paraId="63BA1D4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3.按规定填写初诊病</w:t>
      </w:r>
      <w:r>
        <w:rPr>
          <w:rFonts w:hint="eastAsia" w:ascii="仿宋_GB2312" w:hAnsi="仿宋_GB2312" w:eastAsia="仿宋_GB2312" w:cs="仿宋_GB2312"/>
          <w:sz w:val="32"/>
          <w:szCs w:val="32"/>
          <w:lang w:val="en-US" w:eastAsia="zh-CN"/>
        </w:rPr>
        <w:t>人相关信息</w:t>
      </w:r>
      <w:r>
        <w:rPr>
          <w:rFonts w:hint="eastAsia" w:ascii="仿宋_GB2312" w:hAnsi="仿宋_GB2312" w:eastAsia="仿宋_GB2312" w:cs="仿宋_GB2312"/>
          <w:sz w:val="32"/>
          <w:szCs w:val="32"/>
        </w:rPr>
        <w:t>。</w:t>
      </w:r>
    </w:p>
    <w:p w14:paraId="69F2BC4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4.必须做好当天挂号、收款前的准备工作，如初诊病历，处方，收据，零钱等。</w:t>
      </w:r>
    </w:p>
    <w:p w14:paraId="051AC21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5.每天必须向财务科交挂号收款金额一次，连同票据一起上缴。</w:t>
      </w:r>
    </w:p>
    <w:p w14:paraId="064B09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）电诊医师职责</w:t>
      </w:r>
    </w:p>
    <w:p w14:paraId="746CA9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1.在科长领导下进行工作。</w:t>
      </w:r>
    </w:p>
    <w:p w14:paraId="661088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2.认真执行各项规章制度和技术操作常规，做好防护工作，及时准确发出电诊报告单。</w:t>
      </w:r>
    </w:p>
    <w:p w14:paraId="122E25C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3.做好登记，统计及材料收集整理工作。</w:t>
      </w:r>
    </w:p>
    <w:p w14:paraId="0B31257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）检验师职责</w:t>
      </w:r>
    </w:p>
    <w:p w14:paraId="72E92F2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1.在科长领导下进行工作。</w:t>
      </w:r>
    </w:p>
    <w:p w14:paraId="202EDD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2.核对检验结果，负责特殊检验的技术操作和特殊试剂的配制、鉴定、检查、定期校正检验试剂、仪器，严防差错事故。</w:t>
      </w:r>
    </w:p>
    <w:p w14:paraId="060A54A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3.负责贵重器材的管理和检验材料的请领、报销等工作</w:t>
      </w:r>
      <w:r>
        <w:rPr>
          <w:rFonts w:hint="eastAsia" w:ascii="仿宋_GB2312" w:hAnsi="仿宋_GB2312" w:eastAsia="仿宋_GB2312" w:cs="仿宋_GB2312"/>
          <w:sz w:val="32"/>
          <w:szCs w:val="32"/>
          <w:lang w:eastAsia="zh-CN"/>
        </w:rPr>
        <w:t>。</w:t>
      </w:r>
    </w:p>
    <w:p w14:paraId="75F4DF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.负责开展对本专业质量控制工作。</w:t>
      </w:r>
    </w:p>
    <w:p w14:paraId="59E601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（十）放射线医师职责</w:t>
      </w:r>
    </w:p>
    <w:p w14:paraId="3BF1BFE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1.在科长领导下进行工作。</w:t>
      </w:r>
    </w:p>
    <w:p w14:paraId="595B56F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2.负责Ⅹ线诊断工作，按时完成诊断报告。</w:t>
      </w:r>
    </w:p>
    <w:p w14:paraId="28C050D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3.掌握Ⅹ线机的一般原理性能、使用及投照技术，遵守操作规程，做好防护工作，严防差错事故。</w:t>
      </w:r>
    </w:p>
    <w:p w14:paraId="30182DF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）会计职责</w:t>
      </w:r>
    </w:p>
    <w:p w14:paraId="606BEF5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1.在财务科长领导下，搞好会计核算，严格执行各项经费开支标准，控制预算定额。</w:t>
      </w:r>
    </w:p>
    <w:p w14:paraId="1B44349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2.负责各项会计事务处理，做到科目准确、数字真实、凭证完整、装订整齐、记载清晰、日清月结、报账及时。</w:t>
      </w:r>
    </w:p>
    <w:p w14:paraId="251144A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3.及时、正确地编制会计报表,做到账表对口,并认真分析，有情况、有说明，经院长核准，及时上报。</w:t>
      </w:r>
    </w:p>
    <w:p w14:paraId="4F6ECC97">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4.严格执行结算纪律，及时清理债权债务。</w:t>
      </w:r>
    </w:p>
    <w:p w14:paraId="3C4A6F1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.管好会计档案。</w:t>
      </w:r>
    </w:p>
    <w:p w14:paraId="5C803F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.认真贯彻执行国务院颁发的“会计员职权条例”和有关规定。</w:t>
      </w:r>
    </w:p>
    <w:p w14:paraId="0BAA3F8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）出纳员职责</w:t>
      </w:r>
    </w:p>
    <w:p w14:paraId="4A436A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1.在财务科长领导下，做好银行存款及库存现金的收付，并随时记账，每日终向会计提交银行存款及库存现金日报，做到日清月结。</w:t>
      </w:r>
    </w:p>
    <w:p w14:paraId="641591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2.逐笔核对当日收付款项，随时核对库存现金和银行存款余额。</w:t>
      </w:r>
    </w:p>
    <w:p w14:paraId="505BFE2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3.做好收据的保管、发放及收据存根的回收保管工作。</w:t>
      </w:r>
    </w:p>
    <w:p w14:paraId="44BA707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4.经常复核或定期抽查门诊的收据存根。</w:t>
      </w:r>
    </w:p>
    <w:p w14:paraId="3CD41EC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）公卫人员职责</w:t>
      </w:r>
    </w:p>
    <w:p w14:paraId="59BE04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居民健康档案管理服务。为辖区内常住居民，包括居住半年以上的户籍及非户籍居民建立健康档案，以0—6岁儿童、孕产妇、老年人、慢性病患者和严重精神障碍患者等人群为重点。居民健康档案的内容包括个人基本信息、健康体检、重点人群健康管理记录和其他医疗卫生服务记录。</w:t>
      </w:r>
    </w:p>
    <w:p w14:paraId="6ABD127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健康教育服务。对辖区内居民主要是青少年、妇女、老年人、残疾人、0—6岁儿童家长、农民工等人群进行健康教育。服务形式包括发放印刷资料、播放音像资料、设置健康教育宣传栏、开展公众健康咨询活动、举办健康知识讲座、开展个体化健康教育等。</w:t>
      </w:r>
    </w:p>
    <w:p w14:paraId="4F303C4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预防接种服务。服务对象主要是辖区内0—6岁儿童和其他重点人群。服务内容是为辖区内所有居住满3个月的0—6岁儿童建立预防接种证和预防接种卡等儿童预防接种档案、对适龄儿童进行常规接种、对疑似预防接种异常反应进行处理。</w:t>
      </w:r>
    </w:p>
    <w:p w14:paraId="745BE92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0—6岁儿童健康管理服务。服务对象为辖区内</w:t>
      </w:r>
      <w:r>
        <w:rPr>
          <w:rFonts w:hint="eastAsia" w:ascii="仿宋_GB2312" w:hAnsi="仿宋_GB2312" w:eastAsia="仿宋_GB2312" w:cs="仿宋_GB2312"/>
          <w:sz w:val="32"/>
          <w:szCs w:val="32"/>
          <w:lang w:val="en-US" w:eastAsia="zh-CN"/>
        </w:rPr>
        <w:t>常住</w:t>
      </w:r>
      <w:r>
        <w:rPr>
          <w:rFonts w:hint="eastAsia" w:ascii="仿宋_GB2312" w:hAnsi="仿宋_GB2312" w:eastAsia="仿宋_GB2312" w:cs="仿宋_GB2312"/>
          <w:sz w:val="32"/>
          <w:szCs w:val="32"/>
        </w:rPr>
        <w:t>的0—6岁儿童。服务内容为新生儿家庭访视，满28天，3、6、8、12、18、24、30、36月龄时由</w:t>
      </w:r>
      <w:r>
        <w:rPr>
          <w:rFonts w:hint="eastAsia" w:ascii="仿宋_GB2312" w:hAnsi="仿宋_GB2312" w:eastAsia="仿宋_GB2312" w:cs="仿宋_GB2312"/>
          <w:sz w:val="32"/>
          <w:szCs w:val="32"/>
          <w:lang w:val="en-US" w:eastAsia="zh-CN"/>
        </w:rPr>
        <w:t>社区</w:t>
      </w:r>
      <w:r>
        <w:rPr>
          <w:rFonts w:hint="eastAsia" w:ascii="仿宋_GB2312" w:hAnsi="仿宋_GB2312" w:eastAsia="仿宋_GB2312" w:cs="仿宋_GB2312"/>
          <w:sz w:val="32"/>
          <w:szCs w:val="32"/>
        </w:rPr>
        <w:t>卫生服务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随访，6—8、18、30月龄时分别进行1次血常规检测，6、12、24、36月龄时使用听性行为观察法分别进行1次听力筛查，为4—6岁儿童每年提供1次健康管理服务，对健康管理中发现的有营养不良、贫血、单纯性肥胖等情况的儿童给出指导或转诊的建议，对口腔发育异常(唇腭裂、高鄂弓、诞生牙)、龋齿、视力低常或听力异常儿童应</w:t>
      </w:r>
      <w:r>
        <w:rPr>
          <w:rFonts w:hint="eastAsia" w:ascii="仿宋_GB2312" w:hAnsi="仿宋_GB2312" w:eastAsia="仿宋_GB2312" w:cs="仿宋_GB2312"/>
          <w:sz w:val="32"/>
          <w:szCs w:val="32"/>
          <w:lang w:val="en-US" w:eastAsia="zh-CN"/>
        </w:rPr>
        <w:t>分析其原因，给出指导或转诊的建议</w:t>
      </w:r>
      <w:r>
        <w:rPr>
          <w:rFonts w:hint="eastAsia" w:ascii="仿宋_GB2312" w:hAnsi="仿宋_GB2312" w:eastAsia="仿宋_GB2312" w:cs="仿宋_GB2312"/>
          <w:sz w:val="32"/>
          <w:szCs w:val="32"/>
        </w:rPr>
        <w:t>。</w:t>
      </w:r>
    </w:p>
    <w:p w14:paraId="6E82286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孕产妇健康管理服务。服务对象为辖区内居住的孕产妇。服务内容主要是为孕妇提供孕期健康管理，孕12周内为孕妇建立《孕产妇保健手册》，并进行1次产前随访，孕16—20周、21—24周、28—36周、37—40周各进行1次随访，</w:t>
      </w:r>
      <w:r>
        <w:rPr>
          <w:rFonts w:hint="eastAsia" w:ascii="仿宋_GB2312" w:hAnsi="仿宋_GB2312" w:eastAsia="仿宋_GB2312" w:cs="仿宋_GB2312"/>
          <w:sz w:val="32"/>
          <w:szCs w:val="32"/>
          <w:lang w:val="en-US" w:eastAsia="zh-CN"/>
        </w:rPr>
        <w:t>产妇出院后一周</w:t>
      </w:r>
      <w:r>
        <w:rPr>
          <w:rFonts w:hint="eastAsia" w:ascii="仿宋_GB2312" w:hAnsi="仿宋_GB2312" w:eastAsia="仿宋_GB2312" w:cs="仿宋_GB2312"/>
          <w:sz w:val="32"/>
          <w:szCs w:val="32"/>
        </w:rPr>
        <w:t>到产妇家中访视。</w:t>
      </w:r>
    </w:p>
    <w:p w14:paraId="7F83C66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老年人健康管理服务。服务对象为辖区内65岁及以上常住居民。服务内容主要是每年为老年人提供1次健康管理服务，包括生活方式和健康状况评估、体格检查、辅助检查和健康指导。</w:t>
      </w:r>
    </w:p>
    <w:p w14:paraId="41ACA32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 高血压患者健康管理服务。服务对象为辖区内35岁及以上原发性高血压患者。服务内容主要是对辖区内35岁及以上常住居民进行高血压筛查，对原发性高血压患者进行健康管理，每年要提供至少4次面对面的随访和1次较全面的健康检查，并指导他们进行规范治疗。</w:t>
      </w:r>
    </w:p>
    <w:p w14:paraId="5ECB77F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 Ⅱ型糖尿病患者健康管理服务。服务对象为辖区内35岁及以上Ⅱ型糖尿病患者，服务内容主要是对筛查发现的Ⅱ型糖尿病高危人群进行有针对性的健康教育，建议其每年至少测量1次空腹血糖，并接受医务人员的健康指导;对确诊的Ⅱ型糖尿病患者，每年提供4次免费空腹血糖检测，至少进行4次面对面随访，进行1次较全面的健康体检。</w:t>
      </w:r>
    </w:p>
    <w:p w14:paraId="6185F25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 严重精神障碍患者管理服务。服务对象为辖区内诊断明确、在家居住的严重精神障碍患者。服务内容包括对患者的信息管理、随访评估，对重性精神疾病患者每年至少随访</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次。</w:t>
      </w:r>
    </w:p>
    <w:p w14:paraId="472F280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 传染病及突发公共卫生事件报告和处理服务。服务对象为辖区内居民。服务内容主要有四项：传染病疫情和突发公共卫生事件风险管理，传染病和突发公共卫生事件的发现、登记，传染病和突发公共卫生事件相关信息报告，传染病和突发公共卫生事件的处理。</w:t>
      </w:r>
    </w:p>
    <w:p w14:paraId="18149A3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卫生计生监督协管服务。服务对象为辖区内居民。服务内容是，食品安全信息报告、职业卫生咨询指导、饮用水卫生安全巡查、学校卫生服务、非法行医和非法采供血信息报告。</w:t>
      </w:r>
    </w:p>
    <w:p w14:paraId="0DBE2C9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中医药健康管理。每年为65岁以上老年人提供1次中医体质辨识和中医药健康指导；在儿童6、12、18、24、30、36月龄时对儿童家长进行儿童中医药健康指导，包括向家长提供儿童中医饮食调养、起居活动指导，相关内容记录在健康档案中，并开展多种形式的中医药服务健康教育活动。</w:t>
      </w:r>
    </w:p>
    <w:p w14:paraId="4D44058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13.肺结核患者健康管理。服务对象为辖区内确诊的常住肺结核患者。服务内容包括：筛查及推介转诊、第一次入户随访、督导服药和随访管理。</w:t>
      </w:r>
    </w:p>
    <w:p w14:paraId="50E79EE6">
      <w:pPr>
        <w:keepNext w:val="0"/>
        <w:keepLines w:val="0"/>
        <w:pageBreakBefore w:val="0"/>
        <w:widowControl/>
        <w:kinsoku w:val="0"/>
        <w:wordWrap/>
        <w:overflowPunct/>
        <w:topLinePunct w:val="0"/>
        <w:autoSpaceDE w:val="0"/>
        <w:autoSpaceDN w:val="0"/>
        <w:bidi w:val="0"/>
        <w:adjustRightInd w:val="0"/>
        <w:snapToGrid w:val="0"/>
        <w:spacing w:before="251" w:line="360" w:lineRule="auto"/>
        <w:ind w:left="672" w:firstLine="337" w:firstLineChars="100"/>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8"/>
          <w:sz w:val="32"/>
          <w:szCs w:val="32"/>
        </w:rPr>
        <w:t>二、机构设置及部门决算单位构成</w:t>
      </w:r>
    </w:p>
    <w:p w14:paraId="5375073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根据上述职责，长春高新技术产业开发区社区卫生服务中心内设</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个机构，为长春高新技术产业开发区社区卫生服务中心。纳入长春高新技术产业开发区社区卫生服务中心20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年度部门决算编制范围的单位包括：</w:t>
      </w:r>
    </w:p>
    <w:p w14:paraId="0816A425">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1.长春高新技术产业开发区社区卫生服务中心本级</w:t>
      </w:r>
    </w:p>
    <w:p w14:paraId="345BAFDC">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1FC8B0C7">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37F2FD89">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6A614D32">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58E0AF12">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01A3763E">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10FF79CB">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7DB32E97">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4EA36051">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24B7348C">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1F1AFB07">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05F419CA">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7D57414B">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7CBE46E7">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683F8228">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0D26495E">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7AB7A5AE">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006CDC80">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20A5694A">
      <w:pPr>
        <w:pStyle w:val="3"/>
        <w:numPr>
          <w:ilvl w:val="0"/>
          <w:numId w:val="0"/>
        </w:numPr>
        <w:kinsoku w:val="0"/>
        <w:autoSpaceDE w:val="0"/>
        <w:autoSpaceDN w:val="0"/>
        <w:adjustRightInd w:val="0"/>
        <w:snapToGrid w:val="0"/>
        <w:spacing w:line="328" w:lineRule="auto"/>
        <w:jc w:val="left"/>
        <w:textAlignment w:val="baseline"/>
        <w:rPr>
          <w:rFonts w:hint="eastAsia" w:ascii="仿宋" w:hAnsi="仿宋" w:eastAsia="仿宋"/>
          <w:sz w:val="32"/>
          <w:lang w:val="en-US" w:eastAsia="zh-CN"/>
        </w:rPr>
      </w:pPr>
    </w:p>
    <w:p w14:paraId="0BDF4C99">
      <w:pPr>
        <w:spacing w:before="189" w:line="186" w:lineRule="auto"/>
        <w:ind w:firstLine="883" w:firstLineChars="200"/>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rPr>
        <w:t>第二部分</w:t>
      </w:r>
      <w:r>
        <w:rPr>
          <w:rFonts w:hint="default" w:ascii="Times New Roman" w:hAnsi="Times New Roman" w:eastAsia="仿宋_GB2312" w:cs="Times New Roman"/>
          <w:b/>
          <w:bCs/>
          <w:spacing w:val="111"/>
          <w:sz w:val="44"/>
          <w:szCs w:val="44"/>
        </w:rPr>
        <w:t xml:space="preserve"> </w:t>
      </w:r>
      <w:r>
        <w:rPr>
          <w:rFonts w:hint="default" w:ascii="Times New Roman" w:hAnsi="Times New Roman" w:eastAsia="仿宋_GB2312" w:cs="Times New Roman"/>
          <w:b/>
          <w:bCs/>
          <w:sz w:val="44"/>
          <w:szCs w:val="44"/>
        </w:rPr>
        <w:t>2023</w:t>
      </w:r>
      <w:r>
        <w:rPr>
          <w:rFonts w:hint="default" w:ascii="Times New Roman" w:hAnsi="Times New Roman" w:eastAsia="仿宋_GB2312" w:cs="Times New Roman"/>
          <w:b/>
          <w:bCs/>
          <w:spacing w:val="-103"/>
          <w:sz w:val="44"/>
          <w:szCs w:val="44"/>
        </w:rPr>
        <w:t xml:space="preserve"> </w:t>
      </w:r>
      <w:r>
        <w:rPr>
          <w:rFonts w:hint="default" w:ascii="Times New Roman" w:hAnsi="Times New Roman" w:eastAsia="仿宋_GB2312" w:cs="Times New Roman"/>
          <w:b/>
          <w:bCs/>
          <w:sz w:val="44"/>
          <w:szCs w:val="44"/>
        </w:rPr>
        <w:t>年度部门决算表</w:t>
      </w:r>
    </w:p>
    <w:p w14:paraId="2E3024B5">
      <w:pPr>
        <w:pStyle w:val="3"/>
        <w:spacing w:line="268" w:lineRule="auto"/>
        <w:rPr>
          <w:rFonts w:hint="default" w:ascii="Times New Roman" w:hAnsi="Times New Roman" w:eastAsia="仿宋_GB2312" w:cs="Times New Roman"/>
          <w:sz w:val="44"/>
          <w:szCs w:val="44"/>
        </w:rPr>
      </w:pPr>
    </w:p>
    <w:p w14:paraId="62EDBB83">
      <w:pPr>
        <w:pStyle w:val="3"/>
        <w:spacing w:line="268" w:lineRule="auto"/>
        <w:rPr>
          <w:rFonts w:hint="default" w:ascii="Times New Roman" w:hAnsi="Times New Roman" w:eastAsia="仿宋_GB2312" w:cs="Times New Roman"/>
        </w:rPr>
      </w:pPr>
    </w:p>
    <w:p w14:paraId="0230491F">
      <w:pPr>
        <w:pStyle w:val="3"/>
        <w:spacing w:line="268" w:lineRule="auto"/>
        <w:rPr>
          <w:rFonts w:hint="default" w:ascii="Times New Roman" w:hAnsi="Times New Roman" w:eastAsia="仿宋_GB2312" w:cs="Times New Roman"/>
        </w:rPr>
      </w:pPr>
    </w:p>
    <w:p w14:paraId="3AF37714">
      <w:pPr>
        <w:spacing w:before="100"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一、收入支出决算总表</w:t>
      </w:r>
    </w:p>
    <w:p w14:paraId="0DCA0E10">
      <w:pPr>
        <w:pStyle w:val="3"/>
        <w:spacing w:line="337" w:lineRule="auto"/>
        <w:rPr>
          <w:rFonts w:hint="default" w:ascii="Times New Roman" w:hAnsi="Times New Roman" w:eastAsia="仿宋_GB2312" w:cs="Times New Roman"/>
        </w:rPr>
      </w:pPr>
    </w:p>
    <w:p w14:paraId="47FFD893">
      <w:pPr>
        <w:spacing w:line="224" w:lineRule="auto"/>
      </w:pPr>
      <w:r>
        <w:drawing>
          <wp:inline distT="0" distB="0" distL="114300" distR="114300">
            <wp:extent cx="5293995" cy="3856355"/>
            <wp:effectExtent l="0" t="0" r="1905" b="1079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93995" cy="3856355"/>
                    </a:xfrm>
                    <a:prstGeom prst="rect">
                      <a:avLst/>
                    </a:prstGeom>
                    <a:noFill/>
                    <a:ln>
                      <a:noFill/>
                    </a:ln>
                  </pic:spPr>
                </pic:pic>
              </a:graphicData>
            </a:graphic>
          </wp:inline>
        </w:drawing>
      </w:r>
    </w:p>
    <w:p w14:paraId="76ECAB64">
      <w:pPr>
        <w:spacing w:line="224" w:lineRule="auto"/>
      </w:pPr>
    </w:p>
    <w:p w14:paraId="02EB9CAF">
      <w:pPr>
        <w:spacing w:before="101"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二、收入决算表</w:t>
      </w:r>
    </w:p>
    <w:p w14:paraId="6FD1FBA5">
      <w:pPr>
        <w:spacing w:line="224" w:lineRule="auto"/>
        <w:rPr>
          <w:rFonts w:hint="default"/>
        </w:rPr>
        <w:sectPr>
          <w:footerReference r:id="rId8" w:type="default"/>
          <w:pgSz w:w="11907" w:h="16839"/>
          <w:pgMar w:top="1431" w:right="1785" w:bottom="1150" w:left="1785" w:header="0" w:footer="965" w:gutter="0"/>
          <w:cols w:space="720" w:num="1"/>
        </w:sectPr>
      </w:pPr>
      <w:r>
        <w:drawing>
          <wp:inline distT="0" distB="0" distL="114300" distR="114300">
            <wp:extent cx="5290185" cy="2696210"/>
            <wp:effectExtent l="0" t="0" r="571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5290185" cy="2696210"/>
                    </a:xfrm>
                    <a:prstGeom prst="rect">
                      <a:avLst/>
                    </a:prstGeom>
                    <a:noFill/>
                    <a:ln>
                      <a:noFill/>
                    </a:ln>
                  </pic:spPr>
                </pic:pic>
              </a:graphicData>
            </a:graphic>
          </wp:inline>
        </w:drawing>
      </w:r>
    </w:p>
    <w:p w14:paraId="34B8D47B">
      <w:pPr>
        <w:pStyle w:val="3"/>
        <w:spacing w:line="340" w:lineRule="auto"/>
        <w:rPr>
          <w:rFonts w:hint="default" w:ascii="Times New Roman" w:hAnsi="Times New Roman" w:eastAsia="仿宋_GB2312" w:cs="Times New Roman"/>
        </w:rPr>
      </w:pPr>
    </w:p>
    <w:p w14:paraId="0B4A1869">
      <w:pPr>
        <w:spacing w:before="101" w:line="224" w:lineRule="auto"/>
        <w:ind w:left="674"/>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三、支出决算表</w:t>
      </w:r>
    </w:p>
    <w:p w14:paraId="46CBB811">
      <w:pPr>
        <w:pStyle w:val="3"/>
        <w:spacing w:line="339" w:lineRule="auto"/>
        <w:rPr>
          <w:rFonts w:hint="default" w:ascii="Times New Roman" w:hAnsi="Times New Roman" w:eastAsia="仿宋_GB2312" w:cs="Times New Roman"/>
        </w:rPr>
      </w:pPr>
      <w:r>
        <w:drawing>
          <wp:inline distT="0" distB="0" distL="114300" distR="114300">
            <wp:extent cx="5288280" cy="3154045"/>
            <wp:effectExtent l="0" t="0" r="762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5288280" cy="3154045"/>
                    </a:xfrm>
                    <a:prstGeom prst="rect">
                      <a:avLst/>
                    </a:prstGeom>
                    <a:noFill/>
                    <a:ln>
                      <a:noFill/>
                    </a:ln>
                  </pic:spPr>
                </pic:pic>
              </a:graphicData>
            </a:graphic>
          </wp:inline>
        </w:drawing>
      </w:r>
    </w:p>
    <w:p w14:paraId="3E3B812B">
      <w:pPr>
        <w:pStyle w:val="3"/>
        <w:spacing w:line="340" w:lineRule="auto"/>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 xml:space="preserve">  </w:t>
      </w:r>
    </w:p>
    <w:p w14:paraId="04AFCA03">
      <w:pPr>
        <w:spacing w:before="101" w:line="224" w:lineRule="auto"/>
        <w:ind w:left="686"/>
        <w:rPr>
          <w:rFonts w:hint="default" w:ascii="Times New Roman" w:hAnsi="Times New Roman" w:eastAsia="仿宋_GB2312" w:cs="Times New Roman"/>
        </w:rPr>
      </w:pPr>
      <w:r>
        <w:rPr>
          <w:rFonts w:hint="default" w:ascii="Times New Roman" w:hAnsi="Times New Roman" w:eastAsia="仿宋_GB2312" w:cs="Times New Roman"/>
          <w:b/>
          <w:bCs/>
          <w:spacing w:val="7"/>
          <w:sz w:val="31"/>
          <w:szCs w:val="31"/>
        </w:rPr>
        <w:t>四、财政拨款收入支出决算总表</w:t>
      </w:r>
    </w:p>
    <w:p w14:paraId="733091BC">
      <w:pPr>
        <w:pStyle w:val="3"/>
        <w:spacing w:line="273" w:lineRule="auto"/>
        <w:rPr>
          <w:rFonts w:hint="default" w:ascii="Times New Roman" w:hAnsi="Times New Roman" w:eastAsia="仿宋_GB2312" w:cs="Times New Roman"/>
        </w:rPr>
      </w:pPr>
    </w:p>
    <w:p w14:paraId="5A14B513">
      <w:pPr>
        <w:pStyle w:val="3"/>
        <w:spacing w:line="273" w:lineRule="auto"/>
        <w:rPr>
          <w:rFonts w:hint="default" w:ascii="Times New Roman" w:hAnsi="Times New Roman" w:eastAsia="仿宋_GB2312" w:cs="Times New Roman"/>
        </w:rPr>
      </w:pPr>
    </w:p>
    <w:p w14:paraId="5A47D440">
      <w:pPr>
        <w:pStyle w:val="3"/>
        <w:spacing w:line="274" w:lineRule="auto"/>
        <w:rPr>
          <w:rFonts w:hint="default" w:ascii="Times New Roman" w:hAnsi="Times New Roman" w:eastAsia="仿宋_GB2312" w:cs="Times New Roman"/>
        </w:rPr>
      </w:pPr>
    </w:p>
    <w:p w14:paraId="0579766B">
      <w:pPr>
        <w:spacing w:before="209" w:line="5702" w:lineRule="exact"/>
        <w:ind w:firstLine="324"/>
        <w:rPr>
          <w:rFonts w:hint="default"/>
        </w:rPr>
      </w:pPr>
      <w:r>
        <w:drawing>
          <wp:inline distT="0" distB="0" distL="114300" distR="114300">
            <wp:extent cx="5287645" cy="3663950"/>
            <wp:effectExtent l="0" t="0" r="8255"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287645" cy="3663950"/>
                    </a:xfrm>
                    <a:prstGeom prst="rect">
                      <a:avLst/>
                    </a:prstGeom>
                    <a:noFill/>
                    <a:ln>
                      <a:noFill/>
                    </a:ln>
                  </pic:spPr>
                </pic:pic>
              </a:graphicData>
            </a:graphic>
          </wp:inline>
        </w:drawing>
      </w:r>
    </w:p>
    <w:p w14:paraId="652D33B1">
      <w:pPr>
        <w:spacing w:before="100" w:line="224" w:lineRule="auto"/>
        <w:ind w:firstLine="654" w:firstLineChars="200"/>
        <w:rPr>
          <w:rFonts w:hint="default" w:ascii="Times New Roman" w:hAnsi="Times New Roman" w:eastAsia="仿宋_GB2312" w:cs="Times New Roman"/>
          <w:b/>
          <w:bCs/>
          <w:spacing w:val="8"/>
          <w:sz w:val="31"/>
          <w:szCs w:val="31"/>
        </w:rPr>
      </w:pPr>
    </w:p>
    <w:p w14:paraId="5CE05BB0">
      <w:pPr>
        <w:spacing w:before="100" w:line="224" w:lineRule="auto"/>
        <w:ind w:firstLine="654" w:firstLineChars="200"/>
        <w:rPr>
          <w:rFonts w:hint="default" w:ascii="Times New Roman" w:hAnsi="Times New Roman" w:eastAsia="仿宋_GB2312" w:cs="Times New Roman"/>
        </w:rPr>
      </w:pPr>
      <w:r>
        <w:rPr>
          <w:rFonts w:hint="default" w:ascii="Times New Roman" w:hAnsi="Times New Roman" w:eastAsia="仿宋_GB2312" w:cs="Times New Roman"/>
          <w:b/>
          <w:bCs/>
          <w:spacing w:val="8"/>
          <w:sz w:val="31"/>
          <w:szCs w:val="31"/>
        </w:rPr>
        <w:t>五、一般公共预算财政拨款支出决算表</w:t>
      </w:r>
    </w:p>
    <w:p w14:paraId="66214142">
      <w:pPr>
        <w:pStyle w:val="3"/>
        <w:spacing w:line="261" w:lineRule="auto"/>
        <w:rPr>
          <w:rFonts w:hint="default" w:ascii="Times New Roman" w:hAnsi="Times New Roman" w:eastAsia="仿宋_GB2312" w:cs="Times New Roman"/>
        </w:rPr>
      </w:pPr>
    </w:p>
    <w:p w14:paraId="19484A3D">
      <w:pPr>
        <w:pStyle w:val="3"/>
        <w:spacing w:line="262" w:lineRule="auto"/>
        <w:rPr>
          <w:rFonts w:hint="default" w:ascii="Times New Roman" w:hAnsi="Times New Roman" w:eastAsia="仿宋_GB2312" w:cs="Times New Roman"/>
        </w:rPr>
      </w:pPr>
    </w:p>
    <w:p w14:paraId="6502DF44">
      <w:pPr>
        <w:spacing w:line="356" w:lineRule="auto"/>
      </w:pPr>
      <w:r>
        <w:drawing>
          <wp:inline distT="0" distB="0" distL="114300" distR="114300">
            <wp:extent cx="5283200" cy="1833245"/>
            <wp:effectExtent l="0" t="0" r="12700" b="1460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283200" cy="1833245"/>
                    </a:xfrm>
                    <a:prstGeom prst="rect">
                      <a:avLst/>
                    </a:prstGeom>
                    <a:noFill/>
                    <a:ln>
                      <a:noFill/>
                    </a:ln>
                  </pic:spPr>
                </pic:pic>
              </a:graphicData>
            </a:graphic>
          </wp:inline>
        </w:drawing>
      </w:r>
    </w:p>
    <w:p w14:paraId="550E72C3">
      <w:pPr>
        <w:spacing w:line="356" w:lineRule="auto"/>
      </w:pPr>
    </w:p>
    <w:p w14:paraId="08A2F337">
      <w:pPr>
        <w:spacing w:before="100" w:line="224" w:lineRule="auto"/>
        <w:ind w:left="677"/>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六、一般公共预算财政拨款基本支出决算明细表</w:t>
      </w:r>
    </w:p>
    <w:p w14:paraId="25881C8A">
      <w:pPr>
        <w:spacing w:line="356" w:lineRule="auto"/>
      </w:pPr>
      <w:r>
        <w:drawing>
          <wp:inline distT="0" distB="0" distL="114300" distR="114300">
            <wp:extent cx="5291455" cy="3077210"/>
            <wp:effectExtent l="0" t="0" r="4445"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5291455" cy="3077210"/>
                    </a:xfrm>
                    <a:prstGeom prst="rect">
                      <a:avLst/>
                    </a:prstGeom>
                    <a:noFill/>
                    <a:ln>
                      <a:noFill/>
                    </a:ln>
                  </pic:spPr>
                </pic:pic>
              </a:graphicData>
            </a:graphic>
          </wp:inline>
        </w:drawing>
      </w:r>
    </w:p>
    <w:p w14:paraId="6084805A">
      <w:pPr>
        <w:spacing w:before="101" w:line="224" w:lineRule="auto"/>
        <w:ind w:left="666"/>
        <w:rPr>
          <w:rFonts w:hint="default" w:ascii="Times New Roman" w:hAnsi="Times New Roman" w:eastAsia="仿宋_GB2312" w:cs="Times New Roman"/>
        </w:rPr>
      </w:pPr>
      <w:r>
        <w:rPr>
          <w:rFonts w:hint="default" w:ascii="Times New Roman" w:hAnsi="Times New Roman" w:eastAsia="仿宋_GB2312" w:cs="Times New Roman"/>
          <w:b/>
          <w:bCs/>
          <w:spacing w:val="8"/>
          <w:sz w:val="31"/>
          <w:szCs w:val="31"/>
        </w:rPr>
        <w:t>七、政府性基金预算财政拨款收入支出决算表</w:t>
      </w:r>
    </w:p>
    <w:p w14:paraId="4A4630E6">
      <w:pPr>
        <w:spacing w:line="356" w:lineRule="auto"/>
      </w:pPr>
      <w:r>
        <w:drawing>
          <wp:inline distT="0" distB="0" distL="114300" distR="114300">
            <wp:extent cx="5285740" cy="1743710"/>
            <wp:effectExtent l="0" t="0" r="1016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5285740" cy="1743710"/>
                    </a:xfrm>
                    <a:prstGeom prst="rect">
                      <a:avLst/>
                    </a:prstGeom>
                    <a:noFill/>
                    <a:ln>
                      <a:noFill/>
                    </a:ln>
                  </pic:spPr>
                </pic:pic>
              </a:graphicData>
            </a:graphic>
          </wp:inline>
        </w:drawing>
      </w:r>
    </w:p>
    <w:p w14:paraId="79422BCD">
      <w:pPr>
        <w:spacing w:line="356" w:lineRule="auto"/>
      </w:pPr>
    </w:p>
    <w:p w14:paraId="3FD7414D">
      <w:pPr>
        <w:spacing w:before="101" w:line="364" w:lineRule="auto"/>
        <w:ind w:left="33" w:right="14" w:firstLine="641"/>
        <w:rPr>
          <w:rFonts w:hint="default" w:ascii="Times New Roman" w:hAnsi="Times New Roman" w:eastAsia="仿宋_GB2312" w:cs="Times New Roman"/>
          <w:color w:val="auto"/>
          <w:sz w:val="31"/>
          <w:szCs w:val="31"/>
        </w:rPr>
      </w:pPr>
      <w:r>
        <w:rPr>
          <w:rFonts w:hint="default" w:ascii="Times New Roman" w:hAnsi="Times New Roman" w:eastAsia="仿宋_GB2312" w:cs="Times New Roman"/>
          <w:color w:val="auto"/>
          <w:spacing w:val="7"/>
          <w:sz w:val="31"/>
          <w:szCs w:val="31"/>
        </w:rPr>
        <w:t>说明</w:t>
      </w:r>
      <w:r>
        <w:rPr>
          <w:rFonts w:hint="eastAsia" w:ascii="Times New Roman" w:hAnsi="Times New Roman" w:eastAsia="仿宋_GB2312" w:cs="Times New Roman"/>
          <w:color w:val="auto"/>
          <w:spacing w:val="7"/>
          <w:sz w:val="31"/>
          <w:szCs w:val="31"/>
          <w:lang w:eastAsia="zh-CN"/>
        </w:rPr>
        <w:t>：</w:t>
      </w:r>
      <w:r>
        <w:rPr>
          <w:rFonts w:hint="default" w:ascii="Times New Roman" w:hAnsi="Times New Roman" w:eastAsia="仿宋_GB2312" w:cs="Times New Roman"/>
          <w:color w:val="auto"/>
          <w:spacing w:val="-110"/>
          <w:sz w:val="31"/>
          <w:szCs w:val="31"/>
        </w:rPr>
        <w:t xml:space="preserve"> </w:t>
      </w:r>
      <w:r>
        <w:rPr>
          <w:rFonts w:hint="default" w:ascii="Times New Roman" w:hAnsi="Times New Roman" w:eastAsia="仿宋_GB2312" w:cs="Times New Roman"/>
          <w:color w:val="auto"/>
          <w:spacing w:val="7"/>
          <w:sz w:val="31"/>
          <w:szCs w:val="31"/>
        </w:rPr>
        <w:t>本单位没有政府性基金预</w:t>
      </w:r>
      <w:r>
        <w:rPr>
          <w:rFonts w:hint="default" w:ascii="Times New Roman" w:hAnsi="Times New Roman" w:eastAsia="仿宋_GB2312" w:cs="Times New Roman"/>
          <w:color w:val="auto"/>
          <w:spacing w:val="6"/>
          <w:sz w:val="31"/>
          <w:szCs w:val="31"/>
        </w:rPr>
        <w:t>算财</w:t>
      </w:r>
      <w:r>
        <w:rPr>
          <w:rFonts w:hint="default" w:ascii="Times New Roman" w:hAnsi="Times New Roman" w:eastAsia="仿宋_GB2312" w:cs="Times New Roman"/>
          <w:color w:val="auto"/>
          <w:spacing w:val="4"/>
          <w:sz w:val="31"/>
          <w:szCs w:val="31"/>
        </w:rPr>
        <w:t>政拨款。</w:t>
      </w:r>
    </w:p>
    <w:p w14:paraId="29A023ED">
      <w:pPr>
        <w:spacing w:line="356" w:lineRule="auto"/>
        <w:rPr>
          <w:rFonts w:hint="default"/>
        </w:rPr>
        <w:sectPr>
          <w:footerReference r:id="rId9" w:type="default"/>
          <w:pgSz w:w="11907" w:h="16839"/>
          <w:pgMar w:top="1431" w:right="1785" w:bottom="1153" w:left="1785" w:header="0" w:footer="965" w:gutter="0"/>
          <w:cols w:space="720" w:num="1"/>
        </w:sectPr>
      </w:pPr>
    </w:p>
    <w:p w14:paraId="4A5331A3">
      <w:pPr>
        <w:spacing w:before="101" w:line="224" w:lineRule="auto"/>
        <w:ind w:left="667"/>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八、国有资本经营预算财政拨款支出决算表</w:t>
      </w:r>
    </w:p>
    <w:p w14:paraId="12352112">
      <w:pPr>
        <w:spacing w:before="182" w:line="4817" w:lineRule="exact"/>
        <w:ind w:firstLine="28"/>
        <w:rPr>
          <w:rFonts w:hint="default" w:ascii="Times New Roman" w:hAnsi="Times New Roman" w:eastAsia="仿宋_GB2312" w:cs="Times New Roman"/>
        </w:rPr>
      </w:pPr>
      <w:r>
        <w:drawing>
          <wp:inline distT="0" distB="0" distL="114300" distR="114300">
            <wp:extent cx="5285105" cy="2105660"/>
            <wp:effectExtent l="0" t="0" r="10795" b="889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ChangeAspect="1"/>
                    </pic:cNvPicPr>
                  </pic:nvPicPr>
                  <pic:blipFill>
                    <a:blip r:embed="rId20"/>
                    <a:stretch>
                      <a:fillRect/>
                    </a:stretch>
                  </pic:blipFill>
                  <pic:spPr>
                    <a:xfrm>
                      <a:off x="0" y="0"/>
                      <a:ext cx="5285105" cy="2105660"/>
                    </a:xfrm>
                    <a:prstGeom prst="rect">
                      <a:avLst/>
                    </a:prstGeom>
                    <a:noFill/>
                    <a:ln>
                      <a:noFill/>
                    </a:ln>
                  </pic:spPr>
                </pic:pic>
              </a:graphicData>
            </a:graphic>
          </wp:inline>
        </w:drawing>
      </w:r>
    </w:p>
    <w:p w14:paraId="6B3F087D">
      <w:pPr>
        <w:spacing w:before="101" w:line="364" w:lineRule="auto"/>
        <w:ind w:right="13" w:firstLine="972" w:firstLineChars="300"/>
        <w:jc w:val="both"/>
        <w:rPr>
          <w:rFonts w:hint="default" w:ascii="Times New Roman" w:hAnsi="Times New Roman" w:eastAsia="仿宋_GB2312" w:cs="Times New Roman"/>
          <w:color w:val="auto"/>
          <w:sz w:val="31"/>
          <w:szCs w:val="31"/>
        </w:rPr>
      </w:pPr>
      <w:r>
        <w:rPr>
          <w:rFonts w:hint="default" w:ascii="Times New Roman" w:hAnsi="Times New Roman" w:eastAsia="仿宋_GB2312" w:cs="Times New Roman"/>
          <w:color w:val="auto"/>
          <w:spacing w:val="7"/>
          <w:sz w:val="31"/>
          <w:szCs w:val="31"/>
        </w:rPr>
        <w:t>说明</w:t>
      </w:r>
      <w:r>
        <w:rPr>
          <w:rFonts w:hint="default" w:ascii="Times New Roman" w:hAnsi="Times New Roman" w:eastAsia="仿宋_GB2312" w:cs="Times New Roman"/>
          <w:color w:val="auto"/>
          <w:spacing w:val="-102"/>
          <w:sz w:val="31"/>
          <w:szCs w:val="31"/>
        </w:rPr>
        <w:t xml:space="preserve"> </w:t>
      </w:r>
      <w:r>
        <w:rPr>
          <w:rFonts w:hint="eastAsia" w:ascii="Times New Roman" w:hAnsi="Times New Roman" w:eastAsia="仿宋_GB2312" w:cs="Times New Roman"/>
          <w:color w:val="auto"/>
          <w:spacing w:val="-102"/>
          <w:sz w:val="31"/>
          <w:szCs w:val="31"/>
          <w:lang w:eastAsia="zh-CN"/>
        </w:rPr>
        <w:t>：</w:t>
      </w:r>
      <w:r>
        <w:rPr>
          <w:rFonts w:hint="default" w:ascii="Times New Roman" w:hAnsi="Times New Roman" w:eastAsia="仿宋_GB2312" w:cs="Times New Roman"/>
          <w:color w:val="auto"/>
          <w:spacing w:val="7"/>
          <w:sz w:val="31"/>
          <w:szCs w:val="31"/>
        </w:rPr>
        <w:t>本单位没有国有资本经营预</w:t>
      </w:r>
      <w:r>
        <w:rPr>
          <w:rFonts w:hint="default" w:ascii="Times New Roman" w:hAnsi="Times New Roman" w:eastAsia="仿宋_GB2312" w:cs="Times New Roman"/>
          <w:color w:val="auto"/>
          <w:sz w:val="31"/>
          <w:szCs w:val="31"/>
        </w:rPr>
        <w:t xml:space="preserve"> 算财政拨款。</w:t>
      </w:r>
    </w:p>
    <w:p w14:paraId="1EC400F9">
      <w:pPr>
        <w:pStyle w:val="3"/>
        <w:spacing w:line="340" w:lineRule="auto"/>
        <w:rPr>
          <w:rFonts w:hint="default" w:ascii="Times New Roman" w:hAnsi="Times New Roman" w:eastAsia="仿宋_GB2312" w:cs="Times New Roman"/>
        </w:rPr>
      </w:pPr>
    </w:p>
    <w:p w14:paraId="0F407211">
      <w:pPr>
        <w:numPr>
          <w:ilvl w:val="0"/>
          <w:numId w:val="1"/>
        </w:numPr>
        <w:spacing w:before="101" w:line="224" w:lineRule="auto"/>
        <w:ind w:left="675"/>
        <w:rPr>
          <w:rFonts w:hint="default" w:ascii="Times New Roman" w:hAnsi="Times New Roman" w:eastAsia="仿宋_GB2312" w:cs="Times New Roman"/>
          <w:b/>
          <w:bCs/>
          <w:spacing w:val="8"/>
          <w:sz w:val="31"/>
          <w:szCs w:val="31"/>
        </w:rPr>
      </w:pPr>
      <w:r>
        <w:rPr>
          <w:rFonts w:hint="default" w:ascii="Times New Roman" w:hAnsi="Times New Roman" w:eastAsia="仿宋_GB2312" w:cs="Times New Roman"/>
          <w:b/>
          <w:bCs/>
          <w:spacing w:val="8"/>
          <w:sz w:val="31"/>
          <w:szCs w:val="31"/>
        </w:rPr>
        <w:t>财政拨款“三公”经费支出决算表</w:t>
      </w:r>
    </w:p>
    <w:p w14:paraId="00BE6900">
      <w:pPr>
        <w:numPr>
          <w:ilvl w:val="0"/>
          <w:numId w:val="0"/>
        </w:numPr>
        <w:kinsoku w:val="0"/>
        <w:autoSpaceDE w:val="0"/>
        <w:autoSpaceDN w:val="0"/>
        <w:adjustRightInd w:val="0"/>
        <w:snapToGrid w:val="0"/>
        <w:spacing w:before="101" w:line="224" w:lineRule="auto"/>
        <w:jc w:val="left"/>
        <w:textAlignment w:val="baseline"/>
        <w:rPr>
          <w:rFonts w:hint="default" w:ascii="Times New Roman" w:hAnsi="Times New Roman" w:eastAsia="仿宋_GB2312" w:cs="Times New Roman"/>
          <w:b/>
          <w:bCs/>
          <w:spacing w:val="8"/>
          <w:sz w:val="31"/>
          <w:szCs w:val="31"/>
        </w:rPr>
      </w:pPr>
    </w:p>
    <w:p w14:paraId="16B12801">
      <w:pPr>
        <w:spacing w:before="101" w:line="364" w:lineRule="auto"/>
        <w:ind w:right="13" w:firstLine="630" w:firstLineChars="300"/>
        <w:jc w:val="both"/>
        <w:rPr>
          <w:rFonts w:hint="default" w:ascii="Times New Roman" w:hAnsi="Times New Roman" w:eastAsia="仿宋_GB2312" w:cs="Times New Roman"/>
          <w:color w:val="auto"/>
          <w:sz w:val="31"/>
          <w:szCs w:val="31"/>
        </w:rPr>
      </w:pPr>
      <w:r>
        <w:drawing>
          <wp:inline distT="0" distB="0" distL="114300" distR="114300">
            <wp:extent cx="5291455" cy="1591310"/>
            <wp:effectExtent l="0" t="0" r="4445" b="889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21"/>
                    <a:stretch>
                      <a:fillRect/>
                    </a:stretch>
                  </pic:blipFill>
                  <pic:spPr>
                    <a:xfrm>
                      <a:off x="0" y="0"/>
                      <a:ext cx="5291455" cy="1591310"/>
                    </a:xfrm>
                    <a:prstGeom prst="rect">
                      <a:avLst/>
                    </a:prstGeom>
                    <a:noFill/>
                    <a:ln>
                      <a:noFill/>
                    </a:ln>
                  </pic:spPr>
                </pic:pic>
              </a:graphicData>
            </a:graphic>
          </wp:inline>
        </w:drawing>
      </w:r>
    </w:p>
    <w:p w14:paraId="40CD3B36">
      <w:pPr>
        <w:spacing w:line="364" w:lineRule="auto"/>
        <w:rPr>
          <w:rFonts w:hint="default" w:ascii="Times New Roman" w:hAnsi="Times New Roman" w:eastAsia="仿宋_GB2312" w:cs="Times New Roman"/>
          <w:sz w:val="31"/>
          <w:szCs w:val="31"/>
        </w:rPr>
      </w:pPr>
    </w:p>
    <w:p w14:paraId="2298056C">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9" w:line="360" w:lineRule="auto"/>
        <w:ind w:leftChars="0" w:firstLine="1000" w:firstLineChars="300"/>
        <w:textAlignment w:val="baseline"/>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lang w:eastAsia="zh-CN"/>
        </w:rPr>
        <w:t>十、</w:t>
      </w:r>
      <w:r>
        <w:rPr>
          <w:rFonts w:hint="eastAsia" w:ascii="仿宋_GB2312" w:hAnsi="仿宋_GB2312" w:eastAsia="仿宋_GB2312" w:cs="仿宋_GB2312"/>
          <w:b/>
          <w:bCs/>
          <w:spacing w:val="6"/>
          <w:sz w:val="32"/>
          <w:szCs w:val="32"/>
        </w:rPr>
        <w:t>部门预算项目支出绩效自评表</w:t>
      </w:r>
      <w:r>
        <w:rPr>
          <w:rFonts w:hint="eastAsia" w:ascii="仿宋_GB2312" w:hAnsi="仿宋_GB2312" w:eastAsia="仿宋_GB2312" w:cs="仿宋_GB2312"/>
          <w:b/>
          <w:bCs/>
          <w:spacing w:val="6"/>
          <w:sz w:val="32"/>
          <w:szCs w:val="32"/>
          <w:lang w:val="en-US" w:eastAsia="zh-CN"/>
        </w:rPr>
        <w:t xml:space="preserve"> </w:t>
      </w:r>
    </w:p>
    <w:p w14:paraId="3285F874">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49" w:line="360" w:lineRule="auto"/>
        <w:ind w:leftChars="0" w:firstLine="996" w:firstLineChars="300"/>
        <w:textAlignment w:val="baseline"/>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lang w:val="en-US" w:eastAsia="zh-CN"/>
        </w:rPr>
        <w:t>无</w:t>
      </w:r>
      <w:r>
        <w:rPr>
          <w:rFonts w:hint="eastAsia" w:ascii="仿宋_GB2312" w:hAnsi="仿宋_GB2312" w:eastAsia="仿宋_GB2312" w:cs="仿宋_GB2312"/>
          <w:b w:val="0"/>
          <w:bCs w:val="0"/>
          <w:spacing w:val="6"/>
          <w:sz w:val="32"/>
          <w:szCs w:val="32"/>
        </w:rPr>
        <w:t>部门预算项目支出绩效自评表</w:t>
      </w:r>
    </w:p>
    <w:p w14:paraId="3A61DCFD">
      <w:pPr>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p>
    <w:p w14:paraId="6137F8C5">
      <w:pPr>
        <w:pStyle w:val="3"/>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p>
    <w:p w14:paraId="27A22F57">
      <w:pPr>
        <w:pStyle w:val="3"/>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p>
    <w:p w14:paraId="7DD4EEB0">
      <w:pPr>
        <w:pageBreakBefore w:val="0"/>
        <w:widowControl/>
        <w:kinsoku w:val="0"/>
        <w:wordWrap/>
        <w:overflowPunct/>
        <w:topLinePunct w:val="0"/>
        <w:autoSpaceDE w:val="0"/>
        <w:autoSpaceDN w:val="0"/>
        <w:bidi w:val="0"/>
        <w:adjustRightInd w:val="0"/>
        <w:snapToGrid w:val="0"/>
        <w:spacing w:before="225" w:line="360" w:lineRule="auto"/>
        <w:textAlignment w:val="baseline"/>
        <w:outlineLvl w:val="0"/>
        <w:rPr>
          <w:rFonts w:hint="eastAsia" w:ascii="仿宋_GB2312" w:hAnsi="仿宋_GB2312" w:eastAsia="仿宋_GB2312" w:cs="仿宋_GB2312"/>
          <w:b/>
          <w:bCs/>
          <w:sz w:val="44"/>
          <w:szCs w:val="44"/>
        </w:rPr>
      </w:pPr>
      <w:r>
        <w:rPr>
          <w:rFonts w:hint="eastAsia" w:ascii="仿宋_GB2312" w:hAnsi="仿宋_GB2312" w:eastAsia="仿宋_GB2312" w:cs="仿宋_GB2312"/>
          <w:b/>
          <w:bCs/>
          <w:spacing w:val="5"/>
          <w:position w:val="-2"/>
          <w:sz w:val="44"/>
          <w:szCs w:val="44"/>
        </w:rPr>
        <w:t>第三部分</w:t>
      </w:r>
      <w:r>
        <w:rPr>
          <w:rFonts w:hint="eastAsia" w:ascii="仿宋_GB2312" w:hAnsi="仿宋_GB2312" w:eastAsia="仿宋_GB2312" w:cs="仿宋_GB2312"/>
          <w:b/>
          <w:bCs/>
          <w:spacing w:val="103"/>
          <w:position w:val="-2"/>
          <w:sz w:val="44"/>
          <w:szCs w:val="44"/>
        </w:rPr>
        <w:t xml:space="preserve"> </w:t>
      </w:r>
      <w:r>
        <w:rPr>
          <w:rFonts w:hint="eastAsia" w:ascii="仿宋_GB2312" w:hAnsi="仿宋_GB2312" w:eastAsia="仿宋_GB2312" w:cs="仿宋_GB2312"/>
          <w:b/>
          <w:bCs/>
          <w:spacing w:val="5"/>
          <w:position w:val="-2"/>
          <w:sz w:val="44"/>
          <w:szCs w:val="44"/>
        </w:rPr>
        <w:t>2023年度部门决算情况说明</w:t>
      </w:r>
    </w:p>
    <w:p w14:paraId="17E2D62F">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32"/>
          <w:szCs w:val="32"/>
        </w:rPr>
      </w:pPr>
    </w:p>
    <w:p w14:paraId="5B0DA374">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67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一、收入支出决算总体情况说明</w:t>
      </w:r>
    </w:p>
    <w:p w14:paraId="1D1DC4C2">
      <w:pPr>
        <w:keepNext w:val="0"/>
        <w:keepLines w:val="0"/>
        <w:pageBreakBefore w:val="0"/>
        <w:widowControl/>
        <w:kinsoku w:val="0"/>
        <w:wordWrap/>
        <w:overflowPunct/>
        <w:topLinePunct w:val="0"/>
        <w:autoSpaceDE w:val="0"/>
        <w:autoSpaceDN w:val="0"/>
        <w:bidi w:val="0"/>
        <w:adjustRightInd w:val="0"/>
        <w:snapToGrid w:val="0"/>
        <w:spacing w:before="248" w:line="360" w:lineRule="auto"/>
        <w:ind w:left="36" w:right="113" w:firstLine="634"/>
        <w:textAlignment w:val="baseline"/>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pacing w:val="4"/>
          <w:sz w:val="32"/>
          <w:szCs w:val="32"/>
        </w:rPr>
        <w:t>2023</w:t>
      </w:r>
      <w:r>
        <w:rPr>
          <w:rFonts w:hint="eastAsia" w:ascii="仿宋_GB2312" w:hAnsi="仿宋_GB2312" w:eastAsia="仿宋_GB2312" w:cs="仿宋_GB2312"/>
          <w:spacing w:val="-21"/>
          <w:sz w:val="32"/>
          <w:szCs w:val="32"/>
        </w:rPr>
        <w:t xml:space="preserve"> </w:t>
      </w:r>
      <w:r>
        <w:rPr>
          <w:rFonts w:hint="eastAsia" w:ascii="仿宋_GB2312" w:hAnsi="仿宋_GB2312" w:eastAsia="仿宋_GB2312" w:cs="仿宋_GB2312"/>
          <w:spacing w:val="4"/>
          <w:sz w:val="32"/>
          <w:szCs w:val="32"/>
        </w:rPr>
        <w:t>年度收</w:t>
      </w:r>
      <w:r>
        <w:rPr>
          <w:rFonts w:hint="eastAsia" w:ascii="仿宋_GB2312" w:hAnsi="仿宋_GB2312" w:eastAsia="仿宋_GB2312" w:cs="仿宋_GB2312"/>
          <w:spacing w:val="4"/>
          <w:sz w:val="32"/>
          <w:szCs w:val="32"/>
          <w:lang w:val="en-US" w:eastAsia="zh-CN"/>
        </w:rPr>
        <w:t>入</w:t>
      </w:r>
      <w:r>
        <w:rPr>
          <w:rFonts w:hint="eastAsia" w:ascii="仿宋_GB2312" w:hAnsi="仿宋_GB2312" w:eastAsia="仿宋_GB2312" w:cs="仿宋_GB2312"/>
          <w:spacing w:val="4"/>
          <w:sz w:val="32"/>
          <w:szCs w:val="32"/>
        </w:rPr>
        <w:t>总计均为3578.19万元</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支出总计3860.33万元</w:t>
      </w:r>
      <w:r>
        <w:rPr>
          <w:rFonts w:hint="eastAsia" w:ascii="仿宋_GB2312" w:hAnsi="仿宋_GB2312" w:eastAsia="仿宋_GB2312" w:cs="仿宋_GB2312"/>
          <w:spacing w:val="4"/>
          <w:sz w:val="32"/>
          <w:szCs w:val="32"/>
        </w:rPr>
        <w:t>。与</w:t>
      </w:r>
      <w:r>
        <w:rPr>
          <w:rFonts w:hint="eastAsia" w:ascii="仿宋_GB2312" w:hAnsi="仿宋_GB2312" w:eastAsia="仿宋_GB2312" w:cs="仿宋_GB2312"/>
          <w:spacing w:val="-32"/>
          <w:sz w:val="32"/>
          <w:szCs w:val="32"/>
        </w:rPr>
        <w:t xml:space="preserve"> </w:t>
      </w:r>
      <w:r>
        <w:rPr>
          <w:rFonts w:hint="eastAsia" w:ascii="仿宋_GB2312" w:hAnsi="仿宋_GB2312" w:eastAsia="仿宋_GB2312" w:cs="仿宋_GB2312"/>
          <w:spacing w:val="4"/>
          <w:sz w:val="32"/>
          <w:szCs w:val="32"/>
        </w:rPr>
        <w:t>2022</w:t>
      </w:r>
      <w:r>
        <w:rPr>
          <w:rFonts w:hint="eastAsia" w:ascii="仿宋_GB2312" w:hAnsi="仿宋_GB2312" w:eastAsia="仿宋_GB2312" w:cs="仿宋_GB2312"/>
          <w:spacing w:val="-35"/>
          <w:sz w:val="32"/>
          <w:szCs w:val="32"/>
        </w:rPr>
        <w:t xml:space="preserve"> </w:t>
      </w:r>
      <w:r>
        <w:rPr>
          <w:rFonts w:hint="eastAsia" w:ascii="仿宋_GB2312" w:hAnsi="仿宋_GB2312" w:eastAsia="仿宋_GB2312" w:cs="仿宋_GB2312"/>
          <w:spacing w:val="4"/>
          <w:sz w:val="32"/>
          <w:szCs w:val="32"/>
        </w:rPr>
        <w:t>年度相比，</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收、支总计各增加</w:t>
      </w:r>
      <w:r>
        <w:rPr>
          <w:rFonts w:hint="eastAsia" w:ascii="仿宋_GB2312" w:hAnsi="仿宋_GB2312" w:eastAsia="仿宋_GB2312" w:cs="仿宋_GB2312"/>
          <w:spacing w:val="4"/>
          <w:sz w:val="32"/>
          <w:szCs w:val="32"/>
          <w:lang w:val="en-US" w:eastAsia="zh-CN"/>
        </w:rPr>
        <w:t>768.63</w:t>
      </w:r>
      <w:r>
        <w:rPr>
          <w:rFonts w:hint="eastAsia" w:ascii="仿宋_GB2312" w:hAnsi="仿宋_GB2312" w:eastAsia="仿宋_GB2312" w:cs="仿宋_GB2312"/>
          <w:spacing w:val="4"/>
          <w:sz w:val="32"/>
          <w:szCs w:val="32"/>
        </w:rPr>
        <w:t>万元</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lang w:val="en-US" w:eastAsia="zh-CN"/>
        </w:rPr>
        <w:t>1634.30</w:t>
      </w:r>
      <w:r>
        <w:rPr>
          <w:rFonts w:hint="eastAsia" w:ascii="仿宋_GB2312" w:hAnsi="仿宋_GB2312" w:eastAsia="仿宋_GB2312" w:cs="仿宋_GB2312"/>
          <w:spacing w:val="4"/>
          <w:sz w:val="32"/>
          <w:szCs w:val="32"/>
        </w:rPr>
        <w:t>，增长</w:t>
      </w:r>
      <w:r>
        <w:rPr>
          <w:rFonts w:hint="eastAsia" w:ascii="仿宋_GB2312" w:hAnsi="仿宋_GB2312" w:eastAsia="仿宋_GB2312" w:cs="仿宋_GB2312"/>
          <w:spacing w:val="4"/>
          <w:sz w:val="32"/>
          <w:szCs w:val="32"/>
          <w:lang w:val="en-US" w:eastAsia="zh-CN"/>
        </w:rPr>
        <w:t>27.36%、73.42</w:t>
      </w:r>
      <w:r>
        <w:rPr>
          <w:rFonts w:hint="eastAsia" w:ascii="仿宋_GB2312" w:hAnsi="仿宋_GB2312" w:eastAsia="仿宋_GB2312" w:cs="仿宋_GB2312"/>
          <w:spacing w:val="4"/>
          <w:sz w:val="32"/>
          <w:szCs w:val="32"/>
        </w:rPr>
        <w:t>%。主</w:t>
      </w:r>
      <w:r>
        <w:rPr>
          <w:rFonts w:hint="eastAsia" w:ascii="仿宋_GB2312" w:hAnsi="仿宋_GB2312" w:eastAsia="仿宋_GB2312" w:cs="仿宋_GB2312"/>
          <w:spacing w:val="-10"/>
          <w:sz w:val="32"/>
          <w:szCs w:val="32"/>
        </w:rPr>
        <w:t>要原因：</w:t>
      </w:r>
      <w:r>
        <w:rPr>
          <w:rFonts w:hint="eastAsia" w:ascii="仿宋_GB2312" w:hAnsi="仿宋_GB2312" w:eastAsia="仿宋_GB2312" w:cs="仿宋_GB2312"/>
          <w:spacing w:val="-10"/>
          <w:sz w:val="32"/>
          <w:szCs w:val="32"/>
          <w:lang w:val="en-US" w:eastAsia="zh-CN"/>
        </w:rPr>
        <w:t>业务增加，支出增加。</w:t>
      </w:r>
    </w:p>
    <w:p w14:paraId="1B744EB9">
      <w:pPr>
        <w:keepNext w:val="0"/>
        <w:keepLines w:val="0"/>
        <w:pageBreakBefore w:val="0"/>
        <w:widowControl/>
        <w:kinsoku w:val="0"/>
        <w:wordWrap/>
        <w:overflowPunct/>
        <w:topLinePunct w:val="0"/>
        <w:autoSpaceDE w:val="0"/>
        <w:autoSpaceDN w:val="0"/>
        <w:bidi w:val="0"/>
        <w:adjustRightInd w:val="0"/>
        <w:snapToGrid w:val="0"/>
        <w:spacing w:before="50" w:line="360" w:lineRule="auto"/>
        <w:ind w:firstLine="67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二、收入决算情况说明</w:t>
      </w:r>
    </w:p>
    <w:p w14:paraId="62C46EFF">
      <w:pPr>
        <w:keepNext w:val="0"/>
        <w:keepLines w:val="0"/>
        <w:pageBreakBefore w:val="0"/>
        <w:widowControl/>
        <w:kinsoku w:val="0"/>
        <w:wordWrap/>
        <w:overflowPunct/>
        <w:topLinePunct w:val="0"/>
        <w:autoSpaceDE w:val="0"/>
        <w:autoSpaceDN w:val="0"/>
        <w:bidi w:val="0"/>
        <w:adjustRightInd w:val="0"/>
        <w:snapToGrid w:val="0"/>
        <w:spacing w:before="253" w:line="360" w:lineRule="auto"/>
        <w:ind w:left="23" w:firstLine="644"/>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本年收入合计</w:t>
      </w:r>
      <w:r>
        <w:rPr>
          <w:rFonts w:hint="eastAsia" w:ascii="仿宋_GB2312" w:hAnsi="仿宋_GB2312" w:eastAsia="仿宋_GB2312" w:cs="仿宋_GB2312"/>
          <w:spacing w:val="4"/>
          <w:sz w:val="32"/>
          <w:szCs w:val="32"/>
          <w:lang w:val="en-US" w:eastAsia="zh-CN"/>
        </w:rPr>
        <w:t>3578.19</w:t>
      </w:r>
      <w:r>
        <w:rPr>
          <w:rFonts w:hint="eastAsia" w:ascii="仿宋_GB2312" w:hAnsi="仿宋_GB2312" w:eastAsia="仿宋_GB2312" w:cs="仿宋_GB2312"/>
          <w:spacing w:val="4"/>
          <w:sz w:val="32"/>
          <w:szCs w:val="32"/>
        </w:rPr>
        <w:t>万元，其中：财政拨款收入2302.46 万元，</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4"/>
          <w:sz w:val="32"/>
          <w:szCs w:val="32"/>
        </w:rPr>
        <w:t>比</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上年增加</w:t>
      </w:r>
      <w:r>
        <w:rPr>
          <w:rFonts w:hint="eastAsia" w:ascii="仿宋_GB2312" w:hAnsi="仿宋_GB2312" w:eastAsia="仿宋_GB2312" w:cs="仿宋_GB2312"/>
          <w:spacing w:val="6"/>
          <w:sz w:val="32"/>
          <w:szCs w:val="32"/>
          <w:lang w:val="en-US" w:eastAsia="zh-CN"/>
        </w:rPr>
        <w:t>84.17</w:t>
      </w:r>
      <w:r>
        <w:rPr>
          <w:rFonts w:hint="eastAsia" w:ascii="仿宋_GB2312" w:hAnsi="仿宋_GB2312" w:eastAsia="仿宋_GB2312" w:cs="仿宋_GB2312"/>
          <w:spacing w:val="6"/>
          <w:sz w:val="32"/>
          <w:szCs w:val="32"/>
        </w:rPr>
        <w:t>万元，增长</w:t>
      </w:r>
      <w:r>
        <w:rPr>
          <w:rFonts w:hint="eastAsia" w:ascii="仿宋_GB2312" w:hAnsi="仿宋_GB2312" w:eastAsia="仿宋_GB2312" w:cs="仿宋_GB2312"/>
          <w:spacing w:val="6"/>
          <w:sz w:val="32"/>
          <w:szCs w:val="32"/>
          <w:lang w:val="en-US" w:eastAsia="zh-CN"/>
        </w:rPr>
        <w:t>3.80</w:t>
      </w:r>
      <w:r>
        <w:rPr>
          <w:rFonts w:hint="eastAsia" w:ascii="仿宋_GB2312" w:hAnsi="仿宋_GB2312" w:eastAsia="仿宋_GB2312" w:cs="仿宋_GB2312"/>
          <w:spacing w:val="6"/>
          <w:sz w:val="32"/>
          <w:szCs w:val="32"/>
        </w:rPr>
        <w:t>%，主要是</w:t>
      </w:r>
      <w:r>
        <w:rPr>
          <w:rFonts w:hint="eastAsia" w:ascii="仿宋_GB2312" w:hAnsi="仿宋_GB2312" w:eastAsia="仿宋_GB2312" w:cs="仿宋_GB2312"/>
          <w:spacing w:val="6"/>
          <w:sz w:val="32"/>
          <w:szCs w:val="32"/>
          <w:lang w:val="en-US" w:eastAsia="zh-CN"/>
        </w:rPr>
        <w:t>业务增加，收入增加</w:t>
      </w:r>
      <w:r>
        <w:rPr>
          <w:rFonts w:hint="eastAsia" w:ascii="仿宋_GB2312" w:hAnsi="仿宋_GB2312" w:eastAsia="仿宋_GB2312" w:cs="仿宋_GB2312"/>
          <w:spacing w:val="6"/>
          <w:sz w:val="32"/>
          <w:szCs w:val="32"/>
        </w:rPr>
        <w:t>；事业收入1,274.83万元， 比上年增加</w:t>
      </w:r>
      <w:r>
        <w:rPr>
          <w:rFonts w:hint="eastAsia" w:ascii="仿宋_GB2312" w:hAnsi="仿宋_GB2312" w:eastAsia="仿宋_GB2312" w:cs="仿宋_GB2312"/>
          <w:spacing w:val="6"/>
          <w:sz w:val="32"/>
          <w:szCs w:val="32"/>
          <w:lang w:val="en-US" w:eastAsia="zh-CN"/>
        </w:rPr>
        <w:t>686.03</w:t>
      </w:r>
      <w:r>
        <w:rPr>
          <w:rFonts w:hint="eastAsia" w:ascii="仿宋_GB2312" w:hAnsi="仿宋_GB2312" w:eastAsia="仿宋_GB2312" w:cs="仿宋_GB2312"/>
          <w:spacing w:val="6"/>
          <w:sz w:val="32"/>
          <w:szCs w:val="32"/>
        </w:rPr>
        <w:t>万元，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增长</w:t>
      </w:r>
      <w:r>
        <w:rPr>
          <w:rFonts w:hint="eastAsia" w:ascii="仿宋_GB2312" w:hAnsi="仿宋_GB2312" w:eastAsia="仿宋_GB2312" w:cs="仿宋_GB2312"/>
          <w:spacing w:val="4"/>
          <w:sz w:val="32"/>
          <w:szCs w:val="32"/>
          <w:lang w:val="en-US" w:eastAsia="zh-CN"/>
        </w:rPr>
        <w:t>116.51</w:t>
      </w:r>
      <w:r>
        <w:rPr>
          <w:rFonts w:hint="eastAsia" w:ascii="仿宋_GB2312" w:hAnsi="仿宋_GB2312" w:eastAsia="仿宋_GB2312" w:cs="仿宋_GB2312"/>
          <w:spacing w:val="4"/>
          <w:sz w:val="32"/>
          <w:szCs w:val="32"/>
        </w:rPr>
        <w:t>%，主要是</w:t>
      </w:r>
      <w:r>
        <w:rPr>
          <w:rFonts w:hint="eastAsia" w:ascii="仿宋_GB2312" w:hAnsi="仿宋_GB2312" w:eastAsia="仿宋_GB2312" w:cs="仿宋_GB2312"/>
          <w:spacing w:val="6"/>
          <w:sz w:val="32"/>
          <w:szCs w:val="32"/>
          <w:lang w:val="en-US" w:eastAsia="zh-CN"/>
        </w:rPr>
        <w:t>业务增加，收入增加</w:t>
      </w:r>
      <w:r>
        <w:rPr>
          <w:rFonts w:hint="eastAsia" w:ascii="仿宋_GB2312" w:hAnsi="仿宋_GB2312" w:eastAsia="仿宋_GB2312" w:cs="仿宋_GB2312"/>
          <w:spacing w:val="4"/>
          <w:sz w:val="32"/>
          <w:szCs w:val="32"/>
        </w:rPr>
        <w:t>；其他收入0.90万元， 比上年减</w:t>
      </w:r>
      <w:r>
        <w:rPr>
          <w:rFonts w:hint="eastAsia" w:ascii="仿宋_GB2312" w:hAnsi="仿宋_GB2312" w:eastAsia="仿宋_GB2312" w:cs="仿宋_GB2312"/>
          <w:spacing w:val="4"/>
          <w:sz w:val="32"/>
          <w:szCs w:val="32"/>
          <w:lang w:val="en-US" w:eastAsia="zh-CN"/>
        </w:rPr>
        <w:t>少1.56</w:t>
      </w:r>
      <w:r>
        <w:rPr>
          <w:rFonts w:hint="eastAsia" w:ascii="仿宋_GB2312" w:hAnsi="仿宋_GB2312" w:eastAsia="仿宋_GB2312" w:cs="仿宋_GB2312"/>
          <w:spacing w:val="4"/>
          <w:sz w:val="32"/>
          <w:szCs w:val="32"/>
        </w:rPr>
        <w:t>万元， 下降</w:t>
      </w:r>
      <w:r>
        <w:rPr>
          <w:rFonts w:hint="eastAsia" w:ascii="仿宋_GB2312" w:hAnsi="仿宋_GB2312" w:eastAsia="仿宋_GB2312" w:cs="仿宋_GB2312"/>
          <w:spacing w:val="4"/>
          <w:sz w:val="32"/>
          <w:szCs w:val="32"/>
          <w:lang w:val="en-US" w:eastAsia="zh-CN"/>
        </w:rPr>
        <w:t>63.41</w:t>
      </w:r>
      <w:r>
        <w:rPr>
          <w:rFonts w:hint="eastAsia" w:ascii="仿宋_GB2312" w:hAnsi="仿宋_GB2312" w:eastAsia="仿宋_GB2312" w:cs="仿宋_GB2312"/>
          <w:spacing w:val="4"/>
          <w:sz w:val="32"/>
          <w:szCs w:val="32"/>
        </w:rPr>
        <w:t xml:space="preserve"> %，主要是</w:t>
      </w:r>
      <w:r>
        <w:rPr>
          <w:rFonts w:hint="eastAsia" w:ascii="仿宋_GB2312" w:hAnsi="仿宋_GB2312" w:eastAsia="仿宋_GB2312" w:cs="仿宋_GB2312"/>
          <w:spacing w:val="4"/>
          <w:sz w:val="32"/>
          <w:szCs w:val="32"/>
          <w:lang w:val="en-US" w:eastAsia="zh-CN"/>
        </w:rPr>
        <w:t>其他业务较少，收入减少</w:t>
      </w:r>
      <w:r>
        <w:rPr>
          <w:rFonts w:hint="eastAsia" w:ascii="仿宋_GB2312" w:hAnsi="仿宋_GB2312" w:eastAsia="仿宋_GB2312" w:cs="仿宋_GB2312"/>
          <w:spacing w:val="4"/>
          <w:sz w:val="32"/>
          <w:szCs w:val="32"/>
        </w:rPr>
        <w:t>。</w:t>
      </w:r>
    </w:p>
    <w:p w14:paraId="7CDF2C71">
      <w:pPr>
        <w:keepNext w:val="0"/>
        <w:keepLines w:val="0"/>
        <w:pageBreakBefore w:val="0"/>
        <w:widowControl/>
        <w:kinsoku w:val="0"/>
        <w:wordWrap/>
        <w:overflowPunct/>
        <w:topLinePunct w:val="0"/>
        <w:autoSpaceDE w:val="0"/>
        <w:autoSpaceDN w:val="0"/>
        <w:bidi w:val="0"/>
        <w:adjustRightInd w:val="0"/>
        <w:snapToGrid w:val="0"/>
        <w:spacing w:before="158" w:line="360" w:lineRule="auto"/>
        <w:ind w:firstLine="67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三、支出决算情况说明</w:t>
      </w:r>
    </w:p>
    <w:p w14:paraId="2E5B1EAA">
      <w:pPr>
        <w:keepNext w:val="0"/>
        <w:keepLines w:val="0"/>
        <w:pageBreakBefore w:val="0"/>
        <w:widowControl/>
        <w:kinsoku w:val="0"/>
        <w:wordWrap/>
        <w:overflowPunct/>
        <w:topLinePunct w:val="0"/>
        <w:autoSpaceDE w:val="0"/>
        <w:autoSpaceDN w:val="0"/>
        <w:bidi w:val="0"/>
        <w:adjustRightInd w:val="0"/>
        <w:snapToGrid w:val="0"/>
        <w:spacing w:before="248" w:line="360" w:lineRule="auto"/>
        <w:ind w:left="36" w:right="113" w:firstLine="634"/>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本年支出合计</w:t>
      </w:r>
      <w:r>
        <w:rPr>
          <w:rFonts w:hint="eastAsia" w:ascii="仿宋_GB2312" w:hAnsi="仿宋_GB2312" w:eastAsia="仿宋_GB2312" w:cs="仿宋_GB2312"/>
          <w:spacing w:val="4"/>
          <w:sz w:val="32"/>
          <w:szCs w:val="32"/>
          <w:lang w:val="en-US" w:eastAsia="zh-CN"/>
        </w:rPr>
        <w:t>3860.33</w:t>
      </w:r>
      <w:r>
        <w:rPr>
          <w:rFonts w:hint="eastAsia" w:ascii="仿宋_GB2312" w:hAnsi="仿宋_GB2312" w:eastAsia="仿宋_GB2312" w:cs="仿宋_GB2312"/>
          <w:spacing w:val="4"/>
          <w:sz w:val="32"/>
          <w:szCs w:val="32"/>
        </w:rPr>
        <w:t>万元，其中：基本支出</w:t>
      </w:r>
      <w:r>
        <w:rPr>
          <w:rFonts w:hint="eastAsia" w:ascii="仿宋_GB2312" w:hAnsi="仿宋_GB2312" w:eastAsia="仿宋_GB2312" w:cs="仿宋_GB2312"/>
          <w:spacing w:val="24"/>
          <w:sz w:val="32"/>
          <w:szCs w:val="32"/>
          <w:lang w:val="en-US" w:eastAsia="zh-CN"/>
        </w:rPr>
        <w:t>2782.36</w:t>
      </w:r>
      <w:r>
        <w:rPr>
          <w:rFonts w:hint="eastAsia" w:ascii="仿宋_GB2312" w:hAnsi="仿宋_GB2312" w:eastAsia="仿宋_GB2312" w:cs="仿宋_GB2312"/>
          <w:spacing w:val="4"/>
          <w:sz w:val="32"/>
          <w:szCs w:val="32"/>
        </w:rPr>
        <w:t>万元，</w:t>
      </w:r>
      <w:r>
        <w:rPr>
          <w:rFonts w:hint="eastAsia" w:ascii="仿宋_GB2312" w:hAnsi="仿宋_GB2312" w:eastAsia="仿宋_GB2312" w:cs="仿宋_GB2312"/>
          <w:spacing w:val="-86"/>
          <w:sz w:val="32"/>
          <w:szCs w:val="32"/>
        </w:rPr>
        <w:t xml:space="preserve"> </w:t>
      </w:r>
      <w:r>
        <w:rPr>
          <w:rFonts w:hint="eastAsia" w:ascii="仿宋_GB2312" w:hAnsi="仿宋_GB2312" w:eastAsia="仿宋_GB2312" w:cs="仿宋_GB2312"/>
          <w:spacing w:val="4"/>
          <w:sz w:val="32"/>
          <w:szCs w:val="32"/>
        </w:rPr>
        <w:t>比上年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7"/>
          <w:sz w:val="32"/>
          <w:szCs w:val="32"/>
        </w:rPr>
        <w:t>增加</w:t>
      </w:r>
      <w:r>
        <w:rPr>
          <w:rFonts w:hint="eastAsia" w:ascii="仿宋_GB2312" w:hAnsi="仿宋_GB2312" w:eastAsia="仿宋_GB2312" w:cs="仿宋_GB2312"/>
          <w:spacing w:val="7"/>
          <w:sz w:val="32"/>
          <w:szCs w:val="32"/>
          <w:lang w:val="en-US" w:eastAsia="zh-CN"/>
        </w:rPr>
        <w:t>1669.61</w:t>
      </w:r>
      <w:r>
        <w:rPr>
          <w:rFonts w:hint="eastAsia" w:ascii="仿宋_GB2312" w:hAnsi="仿宋_GB2312" w:eastAsia="仿宋_GB2312" w:cs="仿宋_GB2312"/>
          <w:spacing w:val="7"/>
          <w:sz w:val="32"/>
          <w:szCs w:val="32"/>
        </w:rPr>
        <w:t>万元，增长</w:t>
      </w:r>
      <w:r>
        <w:rPr>
          <w:rFonts w:hint="eastAsia" w:ascii="仿宋_GB2312" w:hAnsi="仿宋_GB2312" w:eastAsia="仿宋_GB2312" w:cs="仿宋_GB2312"/>
          <w:spacing w:val="7"/>
          <w:sz w:val="32"/>
          <w:szCs w:val="32"/>
          <w:lang w:val="en-US" w:eastAsia="zh-CN"/>
        </w:rPr>
        <w:t>150.04</w:t>
      </w:r>
      <w:r>
        <w:rPr>
          <w:rFonts w:hint="eastAsia" w:ascii="仿宋_GB2312" w:hAnsi="仿宋_GB2312" w:eastAsia="仿宋_GB2312" w:cs="仿宋_GB2312"/>
          <w:spacing w:val="7"/>
          <w:sz w:val="32"/>
          <w:szCs w:val="32"/>
        </w:rPr>
        <w:t>%，主要是</w:t>
      </w:r>
      <w:r>
        <w:rPr>
          <w:rFonts w:hint="eastAsia" w:ascii="仿宋_GB2312" w:hAnsi="仿宋_GB2312" w:eastAsia="仿宋_GB2312" w:cs="仿宋_GB2312"/>
          <w:spacing w:val="-100"/>
          <w:sz w:val="32"/>
          <w:szCs w:val="32"/>
        </w:rPr>
        <w:t xml:space="preserve"> </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业务增加，支出增加</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6"/>
          <w:sz w:val="32"/>
          <w:szCs w:val="32"/>
        </w:rPr>
        <w:t>项目支</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
          <w:sz w:val="32"/>
          <w:szCs w:val="32"/>
        </w:rPr>
        <w:t>出</w:t>
      </w:r>
      <w:r>
        <w:rPr>
          <w:rFonts w:hint="eastAsia" w:ascii="仿宋_GB2312" w:hAnsi="仿宋_GB2312" w:eastAsia="仿宋_GB2312" w:cs="仿宋_GB2312"/>
          <w:spacing w:val="47"/>
          <w:sz w:val="32"/>
          <w:szCs w:val="32"/>
          <w:lang w:val="en-US" w:eastAsia="zh-CN"/>
        </w:rPr>
        <w:t>1077.97</w:t>
      </w:r>
      <w:r>
        <w:rPr>
          <w:rFonts w:hint="eastAsia" w:ascii="仿宋_GB2312" w:hAnsi="仿宋_GB2312" w:eastAsia="仿宋_GB2312" w:cs="仿宋_GB2312"/>
          <w:spacing w:val="3"/>
          <w:sz w:val="32"/>
          <w:szCs w:val="32"/>
        </w:rPr>
        <w:t>万元，</w:t>
      </w:r>
      <w:r>
        <w:rPr>
          <w:rFonts w:hint="eastAsia" w:ascii="仿宋_GB2312" w:hAnsi="仿宋_GB2312" w:eastAsia="仿宋_GB2312" w:cs="仿宋_GB2312"/>
          <w:spacing w:val="-78"/>
          <w:sz w:val="32"/>
          <w:szCs w:val="32"/>
        </w:rPr>
        <w:t xml:space="preserve"> </w:t>
      </w:r>
      <w:r>
        <w:rPr>
          <w:rFonts w:hint="eastAsia" w:ascii="仿宋_GB2312" w:hAnsi="仿宋_GB2312" w:eastAsia="仿宋_GB2312" w:cs="仿宋_GB2312"/>
          <w:spacing w:val="3"/>
          <w:sz w:val="32"/>
          <w:szCs w:val="32"/>
        </w:rPr>
        <w:t>比上年减少</w:t>
      </w:r>
      <w:r>
        <w:rPr>
          <w:rFonts w:hint="eastAsia" w:ascii="仿宋_GB2312" w:hAnsi="仿宋_GB2312" w:eastAsia="仿宋_GB2312" w:cs="仿宋_GB2312"/>
          <w:spacing w:val="3"/>
          <w:sz w:val="32"/>
          <w:szCs w:val="32"/>
          <w:lang w:val="en-US" w:eastAsia="zh-CN"/>
        </w:rPr>
        <w:t>35.31</w:t>
      </w:r>
      <w:r>
        <w:rPr>
          <w:rFonts w:hint="eastAsia" w:ascii="仿宋_GB2312" w:hAnsi="仿宋_GB2312" w:eastAsia="仿宋_GB2312" w:cs="仿宋_GB2312"/>
          <w:spacing w:val="3"/>
          <w:sz w:val="32"/>
          <w:szCs w:val="32"/>
        </w:rPr>
        <w:t>万元，下降</w:t>
      </w:r>
      <w:r>
        <w:rPr>
          <w:rFonts w:hint="eastAsia" w:ascii="仿宋_GB2312" w:hAnsi="仿宋_GB2312" w:eastAsia="仿宋_GB2312" w:cs="仿宋_GB2312"/>
          <w:spacing w:val="3"/>
          <w:sz w:val="32"/>
          <w:szCs w:val="32"/>
          <w:lang w:val="en-US" w:eastAsia="zh-CN"/>
        </w:rPr>
        <w:t>3.17</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val="en-US" w:eastAsia="zh-CN"/>
        </w:rPr>
        <w:t>缩减支出</w:t>
      </w:r>
      <w:r>
        <w:rPr>
          <w:rFonts w:hint="eastAsia" w:ascii="仿宋_GB2312" w:hAnsi="仿宋_GB2312" w:eastAsia="仿宋_GB2312" w:cs="仿宋_GB2312"/>
          <w:sz w:val="32"/>
          <w:szCs w:val="32"/>
          <w:lang w:eastAsia="zh-CN"/>
        </w:rPr>
        <w:t>。</w:t>
      </w:r>
    </w:p>
    <w:p w14:paraId="76D8FB49">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67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四、财政拨款收入支出决算总体情况说明</w:t>
      </w:r>
    </w:p>
    <w:p w14:paraId="7ECEA6A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66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2023</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6"/>
          <w:sz w:val="32"/>
          <w:szCs w:val="32"/>
        </w:rPr>
        <w:t>年度财政拨款收</w:t>
      </w:r>
      <w:r>
        <w:rPr>
          <w:rFonts w:hint="eastAsia" w:ascii="仿宋_GB2312" w:hAnsi="仿宋_GB2312" w:eastAsia="仿宋_GB2312" w:cs="仿宋_GB2312"/>
          <w:spacing w:val="6"/>
          <w:sz w:val="32"/>
          <w:szCs w:val="32"/>
          <w:lang w:val="en-US" w:eastAsia="zh-CN"/>
        </w:rPr>
        <w:t>入总计为2,302.46万元、</w:t>
      </w:r>
      <w:r>
        <w:rPr>
          <w:rFonts w:hint="eastAsia" w:ascii="仿宋_GB2312" w:hAnsi="仿宋_GB2312" w:eastAsia="仿宋_GB2312" w:cs="仿宋_GB2312"/>
          <w:spacing w:val="6"/>
          <w:sz w:val="32"/>
          <w:szCs w:val="32"/>
        </w:rPr>
        <w:t>支总计均为3,014.47</w:t>
      </w:r>
      <w:r>
        <w:rPr>
          <w:rFonts w:hint="eastAsia" w:ascii="仿宋_GB2312" w:hAnsi="仿宋_GB2312" w:eastAsia="仿宋_GB2312" w:cs="仿宋_GB2312"/>
          <w:spacing w:val="5"/>
          <w:sz w:val="32"/>
          <w:szCs w:val="32"/>
        </w:rPr>
        <w:t>万元，与</w:t>
      </w:r>
      <w:r>
        <w:rPr>
          <w:rFonts w:hint="eastAsia" w:ascii="仿宋_GB2312" w:hAnsi="仿宋_GB2312" w:eastAsia="仿宋_GB2312" w:cs="仿宋_GB2312"/>
          <w:spacing w:val="-33"/>
          <w:sz w:val="32"/>
          <w:szCs w:val="32"/>
        </w:rPr>
        <w:t xml:space="preserve"> </w:t>
      </w:r>
      <w:r>
        <w:rPr>
          <w:rFonts w:hint="eastAsia" w:ascii="仿宋_GB2312" w:hAnsi="仿宋_GB2312" w:eastAsia="仿宋_GB2312" w:cs="仿宋_GB2312"/>
          <w:spacing w:val="5"/>
          <w:sz w:val="32"/>
          <w:szCs w:val="32"/>
        </w:rPr>
        <w:t>2022</w:t>
      </w:r>
      <w:r>
        <w:rPr>
          <w:rFonts w:hint="eastAsia" w:ascii="仿宋_GB2312" w:hAnsi="仿宋_GB2312" w:eastAsia="仿宋_GB2312" w:cs="仿宋_GB2312"/>
          <w:spacing w:val="-37"/>
          <w:sz w:val="32"/>
          <w:szCs w:val="32"/>
        </w:rPr>
        <w:t xml:space="preserve"> </w:t>
      </w:r>
      <w:r>
        <w:rPr>
          <w:rFonts w:hint="eastAsia" w:ascii="仿宋_GB2312" w:hAnsi="仿宋_GB2312" w:eastAsia="仿宋_GB2312" w:cs="仿宋_GB2312"/>
          <w:spacing w:val="5"/>
          <w:sz w:val="32"/>
          <w:szCs w:val="32"/>
        </w:rPr>
        <w:t>年</w:t>
      </w:r>
      <w:r>
        <w:rPr>
          <w:rFonts w:hint="eastAsia" w:ascii="仿宋_GB2312" w:hAnsi="仿宋_GB2312" w:eastAsia="仿宋_GB2312" w:cs="仿宋_GB2312"/>
          <w:spacing w:val="-9"/>
          <w:sz w:val="32"/>
          <w:szCs w:val="32"/>
        </w:rPr>
        <w:t>相比，财政拨款收、支总计各增加</w:t>
      </w:r>
      <w:r>
        <w:rPr>
          <w:rFonts w:hint="eastAsia" w:ascii="仿宋_GB2312" w:hAnsi="仿宋_GB2312" w:eastAsia="仿宋_GB2312" w:cs="仿宋_GB2312"/>
          <w:spacing w:val="-9"/>
          <w:sz w:val="32"/>
          <w:szCs w:val="32"/>
          <w:lang w:val="en-US" w:eastAsia="zh-CN"/>
        </w:rPr>
        <w:t>84.17</w:t>
      </w:r>
      <w:r>
        <w:rPr>
          <w:rFonts w:hint="eastAsia" w:ascii="仿宋_GB2312" w:hAnsi="仿宋_GB2312" w:eastAsia="仿宋_GB2312" w:cs="仿宋_GB2312"/>
          <w:spacing w:val="-9"/>
          <w:sz w:val="32"/>
          <w:szCs w:val="32"/>
        </w:rPr>
        <w:t>万元</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1379.70</w:t>
      </w:r>
      <w:r>
        <w:rPr>
          <w:rFonts w:hint="eastAsia" w:ascii="仿宋_GB2312" w:hAnsi="仿宋_GB2312" w:eastAsia="仿宋_GB2312" w:cs="仿宋_GB2312"/>
          <w:spacing w:val="-9"/>
          <w:sz w:val="32"/>
          <w:szCs w:val="32"/>
        </w:rPr>
        <w:t>，增长</w:t>
      </w:r>
      <w:r>
        <w:rPr>
          <w:rFonts w:hint="eastAsia" w:ascii="仿宋_GB2312" w:hAnsi="仿宋_GB2312" w:eastAsia="仿宋_GB2312" w:cs="仿宋_GB2312"/>
          <w:spacing w:val="-9"/>
          <w:sz w:val="32"/>
          <w:szCs w:val="32"/>
          <w:lang w:val="en-US" w:eastAsia="zh-CN"/>
        </w:rPr>
        <w:t>3.79%</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lang w:val="en-US" w:eastAsia="zh-CN"/>
        </w:rPr>
        <w:t>84.40</w:t>
      </w:r>
      <w:r>
        <w:rPr>
          <w:rFonts w:hint="eastAsia" w:ascii="仿宋_GB2312" w:hAnsi="仿宋_GB2312" w:eastAsia="仿宋_GB2312" w:cs="仿宋_GB2312"/>
          <w:spacing w:val="-1"/>
          <w:sz w:val="32"/>
          <w:szCs w:val="32"/>
        </w:rPr>
        <w:t>%。主要原因</w:t>
      </w:r>
      <w:r>
        <w:rPr>
          <w:rFonts w:hint="eastAsia" w:ascii="仿宋_GB2312" w:hAnsi="仿宋_GB2312" w:eastAsia="仿宋_GB2312" w:cs="仿宋_GB2312"/>
          <w:spacing w:val="-83"/>
          <w:sz w:val="32"/>
          <w:szCs w:val="32"/>
        </w:rPr>
        <w:t xml:space="preserve"> </w:t>
      </w:r>
      <w:r>
        <w:rPr>
          <w:rFonts w:hint="eastAsia" w:ascii="仿宋_GB2312" w:hAnsi="仿宋_GB2312" w:eastAsia="仿宋_GB2312" w:cs="仿宋_GB2312"/>
          <w:spacing w:val="4"/>
          <w:sz w:val="32"/>
          <w:szCs w:val="32"/>
        </w:rPr>
        <w:t>是</w:t>
      </w:r>
      <w:r>
        <w:rPr>
          <w:rFonts w:hint="eastAsia" w:ascii="仿宋_GB2312" w:hAnsi="仿宋_GB2312" w:eastAsia="仿宋_GB2312" w:cs="仿宋_GB2312"/>
          <w:spacing w:val="6"/>
          <w:sz w:val="32"/>
          <w:szCs w:val="32"/>
          <w:lang w:val="en-US" w:eastAsia="zh-CN"/>
        </w:rPr>
        <w:t>业务增加，收入增加。</w:t>
      </w:r>
    </w:p>
    <w:p w14:paraId="6CC65817">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672"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五、一般公共预算财政拨款支出决算情况说明</w:t>
      </w:r>
    </w:p>
    <w:p w14:paraId="39D769C9">
      <w:pPr>
        <w:keepNext w:val="0"/>
        <w:keepLines w:val="0"/>
        <w:pageBreakBefore w:val="0"/>
        <w:widowControl/>
        <w:kinsoku w:val="0"/>
        <w:wordWrap/>
        <w:overflowPunct/>
        <w:topLinePunct w:val="0"/>
        <w:autoSpaceDE w:val="0"/>
        <w:autoSpaceDN w:val="0"/>
        <w:bidi w:val="0"/>
        <w:adjustRightInd w:val="0"/>
        <w:snapToGrid w:val="0"/>
        <w:spacing w:before="248" w:line="360" w:lineRule="auto"/>
        <w:ind w:left="662"/>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rPr>
        <w:t>（</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b/>
          <w:bCs/>
          <w:spacing w:val="-1"/>
          <w:sz w:val="32"/>
          <w:szCs w:val="32"/>
        </w:rPr>
        <w:t>一</w:t>
      </w:r>
      <w:r>
        <w:rPr>
          <w:rFonts w:hint="eastAsia" w:ascii="仿宋_GB2312" w:hAnsi="仿宋_GB2312" w:eastAsia="仿宋_GB2312" w:cs="仿宋_GB2312"/>
          <w:spacing w:val="-65"/>
          <w:sz w:val="32"/>
          <w:szCs w:val="32"/>
        </w:rPr>
        <w:t xml:space="preserve"> </w:t>
      </w:r>
      <w:r>
        <w:rPr>
          <w:rFonts w:hint="eastAsia" w:ascii="仿宋_GB2312" w:hAnsi="仿宋_GB2312" w:eastAsia="仿宋_GB2312" w:cs="仿宋_GB2312"/>
          <w:b/>
          <w:bCs/>
          <w:spacing w:val="-1"/>
          <w:sz w:val="32"/>
          <w:szCs w:val="32"/>
        </w:rPr>
        <w:t>）一般公共预算财政拨款支出决算总体情况</w:t>
      </w:r>
    </w:p>
    <w:p w14:paraId="0B43C938">
      <w:pPr>
        <w:keepNext w:val="0"/>
        <w:keepLines w:val="0"/>
        <w:pageBreakBefore w:val="0"/>
        <w:widowControl/>
        <w:kinsoku w:val="0"/>
        <w:wordWrap/>
        <w:overflowPunct/>
        <w:topLinePunct w:val="0"/>
        <w:autoSpaceDE w:val="0"/>
        <w:autoSpaceDN w:val="0"/>
        <w:bidi w:val="0"/>
        <w:adjustRightInd w:val="0"/>
        <w:snapToGrid w:val="0"/>
        <w:spacing w:line="360" w:lineRule="auto"/>
        <w:ind w:firstLine="656" w:firstLineChars="200"/>
        <w:textAlignment w:val="baseline"/>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4"/>
          <w:sz w:val="32"/>
          <w:szCs w:val="32"/>
        </w:rPr>
        <w:t>2023</w:t>
      </w:r>
      <w:r>
        <w:rPr>
          <w:rFonts w:hint="eastAsia" w:ascii="仿宋_GB2312" w:hAnsi="仿宋_GB2312" w:eastAsia="仿宋_GB2312" w:cs="仿宋_GB2312"/>
          <w:spacing w:val="-54"/>
          <w:sz w:val="32"/>
          <w:szCs w:val="32"/>
        </w:rPr>
        <w:t xml:space="preserve"> </w:t>
      </w:r>
      <w:r>
        <w:rPr>
          <w:rFonts w:hint="eastAsia" w:ascii="仿宋_GB2312" w:hAnsi="仿宋_GB2312" w:eastAsia="仿宋_GB2312" w:cs="仿宋_GB2312"/>
          <w:spacing w:val="4"/>
          <w:sz w:val="32"/>
          <w:szCs w:val="32"/>
        </w:rPr>
        <w:t>年度一般公共预算财政拨款支出</w:t>
      </w:r>
      <w:r>
        <w:rPr>
          <w:rFonts w:hint="eastAsia" w:ascii="仿宋_GB2312" w:hAnsi="仿宋_GB2312" w:eastAsia="仿宋_GB2312" w:cs="仿宋_GB2312"/>
          <w:spacing w:val="4"/>
          <w:sz w:val="32"/>
          <w:szCs w:val="32"/>
          <w:lang w:val="en-US" w:eastAsia="zh-CN"/>
        </w:rPr>
        <w:t>3014.47</w:t>
      </w:r>
      <w:r>
        <w:rPr>
          <w:rFonts w:hint="eastAsia" w:ascii="仿宋_GB2312" w:hAnsi="仿宋_GB2312" w:eastAsia="仿宋_GB2312" w:cs="仿宋_GB2312"/>
          <w:spacing w:val="4"/>
          <w:sz w:val="32"/>
          <w:szCs w:val="32"/>
        </w:rPr>
        <w:t>万元，占本年</w:t>
      </w:r>
      <w:r>
        <w:rPr>
          <w:rFonts w:hint="eastAsia" w:ascii="仿宋_GB2312" w:hAnsi="仿宋_GB2312" w:eastAsia="仿宋_GB2312" w:cs="仿宋_GB2312"/>
          <w:spacing w:val="4"/>
          <w:sz w:val="32"/>
          <w:szCs w:val="32"/>
          <w:lang w:val="en-US" w:eastAsia="zh-CN"/>
        </w:rPr>
        <w:t>支</w:t>
      </w:r>
      <w:r>
        <w:rPr>
          <w:rFonts w:hint="eastAsia" w:ascii="仿宋_GB2312" w:hAnsi="仿宋_GB2312" w:eastAsia="仿宋_GB2312" w:cs="仿宋_GB2312"/>
          <w:spacing w:val="3"/>
          <w:sz w:val="32"/>
          <w:szCs w:val="32"/>
        </w:rPr>
        <w:t>出合计的</w:t>
      </w:r>
      <w:r>
        <w:rPr>
          <w:rFonts w:hint="eastAsia" w:ascii="仿宋_GB2312" w:hAnsi="仿宋_GB2312" w:eastAsia="仿宋_GB2312" w:cs="仿宋_GB2312"/>
          <w:spacing w:val="3"/>
          <w:sz w:val="32"/>
          <w:szCs w:val="32"/>
          <w:lang w:val="en-US" w:eastAsia="zh-CN"/>
        </w:rPr>
        <w:t>78.09</w:t>
      </w:r>
      <w:r>
        <w:rPr>
          <w:rFonts w:hint="eastAsia" w:ascii="仿宋_GB2312" w:hAnsi="仿宋_GB2312" w:eastAsia="仿宋_GB2312" w:cs="仿宋_GB2312"/>
          <w:spacing w:val="3"/>
          <w:sz w:val="32"/>
          <w:szCs w:val="32"/>
        </w:rPr>
        <w:t>%。与 2022</w:t>
      </w:r>
      <w:r>
        <w:rPr>
          <w:rFonts w:hint="eastAsia" w:ascii="仿宋_GB2312" w:hAnsi="仿宋_GB2312" w:eastAsia="仿宋_GB2312" w:cs="仿宋_GB2312"/>
          <w:spacing w:val="-53"/>
          <w:sz w:val="32"/>
          <w:szCs w:val="32"/>
        </w:rPr>
        <w:t xml:space="preserve"> </w:t>
      </w:r>
      <w:r>
        <w:rPr>
          <w:rFonts w:hint="eastAsia" w:ascii="仿宋_GB2312" w:hAnsi="仿宋_GB2312" w:eastAsia="仿宋_GB2312" w:cs="仿宋_GB2312"/>
          <w:spacing w:val="3"/>
          <w:sz w:val="32"/>
          <w:szCs w:val="32"/>
        </w:rPr>
        <w:t>年度相比，一般公共预算财政拨款支</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出增加</w:t>
      </w:r>
      <w:r>
        <w:rPr>
          <w:rFonts w:hint="eastAsia" w:ascii="仿宋_GB2312" w:hAnsi="仿宋_GB2312" w:eastAsia="仿宋_GB2312" w:cs="仿宋_GB2312"/>
          <w:spacing w:val="-1"/>
          <w:sz w:val="32"/>
          <w:szCs w:val="32"/>
          <w:lang w:val="en-US" w:eastAsia="zh-CN"/>
        </w:rPr>
        <w:t>1379.70</w:t>
      </w:r>
      <w:r>
        <w:rPr>
          <w:rFonts w:hint="eastAsia" w:ascii="仿宋_GB2312" w:hAnsi="仿宋_GB2312" w:eastAsia="仿宋_GB2312" w:cs="仿宋_GB2312"/>
          <w:spacing w:val="-1"/>
          <w:sz w:val="32"/>
          <w:szCs w:val="32"/>
        </w:rPr>
        <w:t>万元，增长</w:t>
      </w:r>
      <w:r>
        <w:rPr>
          <w:rFonts w:hint="eastAsia" w:ascii="仿宋_GB2312" w:hAnsi="仿宋_GB2312" w:eastAsia="仿宋_GB2312" w:cs="仿宋_GB2312"/>
          <w:spacing w:val="-1"/>
          <w:sz w:val="32"/>
          <w:szCs w:val="32"/>
          <w:lang w:val="en-US" w:eastAsia="zh-CN"/>
        </w:rPr>
        <w:t>84.40</w:t>
      </w:r>
      <w:r>
        <w:rPr>
          <w:rFonts w:hint="eastAsia" w:ascii="仿宋_GB2312" w:hAnsi="仿宋_GB2312" w:eastAsia="仿宋_GB2312" w:cs="仿宋_GB2312"/>
          <w:spacing w:val="-1"/>
          <w:sz w:val="32"/>
          <w:szCs w:val="32"/>
        </w:rPr>
        <w:t>%。主要原因</w:t>
      </w:r>
      <w:r>
        <w:rPr>
          <w:rFonts w:hint="eastAsia" w:ascii="仿宋_GB2312" w:hAnsi="仿宋_GB2312" w:eastAsia="仿宋_GB2312" w:cs="仿宋_GB2312"/>
          <w:spacing w:val="-1"/>
          <w:sz w:val="32"/>
          <w:szCs w:val="32"/>
          <w:lang w:val="en-US" w:eastAsia="zh-CN"/>
        </w:rPr>
        <w:t>是</w:t>
      </w:r>
      <w:r>
        <w:rPr>
          <w:rFonts w:hint="eastAsia" w:ascii="仿宋_GB2312" w:hAnsi="仿宋_GB2312" w:eastAsia="仿宋_GB2312" w:cs="仿宋_GB2312"/>
          <w:spacing w:val="6"/>
          <w:sz w:val="32"/>
          <w:szCs w:val="32"/>
          <w:lang w:val="en-US" w:eastAsia="zh-CN"/>
        </w:rPr>
        <w:t>业务增加，支出增加。</w:t>
      </w:r>
    </w:p>
    <w:p w14:paraId="77BE0E43">
      <w:pPr>
        <w:keepNext w:val="0"/>
        <w:keepLines w:val="0"/>
        <w:pageBreakBefore w:val="0"/>
        <w:widowControl/>
        <w:kinsoku w:val="0"/>
        <w:wordWrap/>
        <w:overflowPunct/>
        <w:topLinePunct w:val="0"/>
        <w:autoSpaceDE w:val="0"/>
        <w:autoSpaceDN w:val="0"/>
        <w:bidi w:val="0"/>
        <w:adjustRightInd w:val="0"/>
        <w:snapToGrid w:val="0"/>
        <w:spacing w:before="51" w:line="360" w:lineRule="auto"/>
        <w:ind w:firstLine="659" w:firstLineChars="200"/>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（二）</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b/>
          <w:bCs/>
          <w:spacing w:val="4"/>
          <w:sz w:val="32"/>
          <w:szCs w:val="32"/>
        </w:rPr>
        <w:t>一般公共预算财政拨款支出决算结构情况</w:t>
      </w:r>
    </w:p>
    <w:p w14:paraId="31E19C5E">
      <w:pPr>
        <w:keepNext w:val="0"/>
        <w:keepLines w:val="0"/>
        <w:pageBreakBefore w:val="0"/>
        <w:widowControl/>
        <w:kinsoku w:val="0"/>
        <w:wordWrap/>
        <w:overflowPunct/>
        <w:topLinePunct w:val="0"/>
        <w:autoSpaceDE w:val="0"/>
        <w:autoSpaceDN w:val="0"/>
        <w:bidi w:val="0"/>
        <w:adjustRightInd w:val="0"/>
        <w:snapToGrid w:val="0"/>
        <w:spacing w:before="251" w:line="360" w:lineRule="auto"/>
        <w:ind w:right="6"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支出公共卫生</w:t>
      </w:r>
      <w:r>
        <w:rPr>
          <w:rFonts w:hint="eastAsia" w:ascii="仿宋_GB2312" w:hAnsi="仿宋_GB2312" w:eastAsia="仿宋_GB2312" w:cs="仿宋_GB2312"/>
          <w:spacing w:val="3"/>
          <w:sz w:val="32"/>
          <w:szCs w:val="32"/>
          <w:lang w:val="en-US" w:eastAsia="zh-CN"/>
        </w:rPr>
        <w:t>903.80</w:t>
      </w:r>
      <w:r>
        <w:rPr>
          <w:rFonts w:hint="eastAsia" w:ascii="仿宋_GB2312" w:hAnsi="仿宋_GB2312" w:eastAsia="仿宋_GB2312" w:cs="仿宋_GB2312"/>
          <w:spacing w:val="3"/>
          <w:sz w:val="32"/>
          <w:szCs w:val="32"/>
        </w:rPr>
        <w:t>万元，占</w:t>
      </w:r>
      <w:r>
        <w:rPr>
          <w:rFonts w:hint="eastAsia" w:ascii="仿宋_GB2312" w:hAnsi="仿宋_GB2312" w:eastAsia="仿宋_GB2312" w:cs="仿宋_GB2312"/>
          <w:spacing w:val="3"/>
          <w:sz w:val="32"/>
          <w:szCs w:val="32"/>
          <w:lang w:val="en-US" w:eastAsia="zh-CN"/>
        </w:rPr>
        <w:t>29.98</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卫生健康支出中医（民族医）药专项</w:t>
      </w:r>
      <w:r>
        <w:rPr>
          <w:rFonts w:hint="eastAsia" w:ascii="仿宋_GB2312" w:hAnsi="仿宋_GB2312" w:eastAsia="仿宋_GB2312" w:cs="仿宋_GB2312"/>
          <w:spacing w:val="20"/>
          <w:sz w:val="32"/>
          <w:szCs w:val="32"/>
          <w:lang w:val="en-US" w:eastAsia="zh-CN"/>
        </w:rPr>
        <w:t>10.00</w:t>
      </w:r>
      <w:r>
        <w:rPr>
          <w:rFonts w:hint="eastAsia" w:ascii="仿宋_GB2312" w:hAnsi="仿宋_GB2312" w:eastAsia="仿宋_GB2312" w:cs="仿宋_GB2312"/>
          <w:spacing w:val="3"/>
          <w:sz w:val="32"/>
          <w:szCs w:val="32"/>
        </w:rPr>
        <w:t>万元，占</w:t>
      </w:r>
      <w:r>
        <w:rPr>
          <w:rFonts w:hint="eastAsia" w:ascii="仿宋_GB2312" w:hAnsi="仿宋_GB2312" w:eastAsia="仿宋_GB2312" w:cs="仿宋_GB2312"/>
          <w:spacing w:val="3"/>
          <w:sz w:val="32"/>
          <w:szCs w:val="32"/>
          <w:lang w:val="en-US" w:eastAsia="zh-CN"/>
        </w:rPr>
        <w:t>0.33</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住房保障支出住房改革支出</w:t>
      </w:r>
      <w:r>
        <w:rPr>
          <w:rFonts w:hint="eastAsia" w:ascii="仿宋_GB2312" w:hAnsi="仿宋_GB2312" w:eastAsia="仿宋_GB2312" w:cs="仿宋_GB2312"/>
          <w:spacing w:val="22"/>
          <w:sz w:val="32"/>
          <w:szCs w:val="32"/>
          <w:lang w:val="en-US" w:eastAsia="zh-CN"/>
        </w:rPr>
        <w:t>69.01</w:t>
      </w:r>
      <w:r>
        <w:rPr>
          <w:rFonts w:hint="eastAsia" w:ascii="仿宋_GB2312" w:hAnsi="仿宋_GB2312" w:eastAsia="仿宋_GB2312" w:cs="仿宋_GB2312"/>
          <w:spacing w:val="-16"/>
          <w:sz w:val="32"/>
          <w:szCs w:val="32"/>
        </w:rPr>
        <w:t>万元，占</w:t>
      </w:r>
      <w:r>
        <w:rPr>
          <w:rFonts w:hint="eastAsia" w:ascii="仿宋_GB2312" w:hAnsi="仿宋_GB2312" w:eastAsia="仿宋_GB2312" w:cs="仿宋_GB2312"/>
          <w:spacing w:val="60"/>
          <w:sz w:val="32"/>
          <w:szCs w:val="32"/>
          <w:lang w:val="en-US" w:eastAsia="zh-CN"/>
        </w:rPr>
        <w:t>2.29</w:t>
      </w:r>
      <w:r>
        <w:rPr>
          <w:rFonts w:hint="eastAsia" w:ascii="仿宋_GB2312" w:hAnsi="仿宋_GB2312" w:eastAsia="仿宋_GB2312" w:cs="仿宋_GB2312"/>
          <w:spacing w:val="-16"/>
          <w:sz w:val="32"/>
          <w:szCs w:val="32"/>
        </w:rPr>
        <w:t>%</w:t>
      </w:r>
      <w:r>
        <w:rPr>
          <w:rFonts w:hint="eastAsia" w:ascii="仿宋_GB2312" w:hAnsi="仿宋_GB2312" w:eastAsia="仿宋_GB2312" w:cs="仿宋_GB2312"/>
          <w:spacing w:val="-16"/>
          <w:sz w:val="32"/>
          <w:szCs w:val="32"/>
          <w:lang w:eastAsia="zh-CN"/>
        </w:rPr>
        <w:t>。</w:t>
      </w:r>
    </w:p>
    <w:p w14:paraId="241C516A">
      <w:pPr>
        <w:keepNext w:val="0"/>
        <w:keepLines w:val="0"/>
        <w:pageBreakBefore w:val="0"/>
        <w:widowControl/>
        <w:kinsoku w:val="0"/>
        <w:wordWrap/>
        <w:overflowPunct/>
        <w:topLinePunct w:val="0"/>
        <w:autoSpaceDE w:val="0"/>
        <w:autoSpaceDN w:val="0"/>
        <w:bidi w:val="0"/>
        <w:adjustRightInd w:val="0"/>
        <w:snapToGrid w:val="0"/>
        <w:spacing w:before="52" w:line="360" w:lineRule="auto"/>
        <w:ind w:left="659"/>
        <w:textAlignment w:val="baseline"/>
        <w:outlineLvl w:val="2"/>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（三）</w:t>
      </w:r>
      <w:r>
        <w:rPr>
          <w:rFonts w:hint="eastAsia" w:ascii="仿宋_GB2312" w:hAnsi="仿宋_GB2312" w:eastAsia="仿宋_GB2312" w:cs="仿宋_GB2312"/>
          <w:spacing w:val="-80"/>
          <w:sz w:val="32"/>
          <w:szCs w:val="32"/>
        </w:rPr>
        <w:t xml:space="preserve"> </w:t>
      </w:r>
      <w:r>
        <w:rPr>
          <w:rFonts w:hint="eastAsia" w:ascii="仿宋_GB2312" w:hAnsi="仿宋_GB2312" w:eastAsia="仿宋_GB2312" w:cs="仿宋_GB2312"/>
          <w:b/>
          <w:bCs/>
          <w:spacing w:val="4"/>
          <w:sz w:val="32"/>
          <w:szCs w:val="32"/>
        </w:rPr>
        <w:t>一般公共预算财政拨款支出决算具体情况</w:t>
      </w:r>
    </w:p>
    <w:p w14:paraId="65AEA5E6">
      <w:pPr>
        <w:keepNext w:val="0"/>
        <w:keepLines w:val="0"/>
        <w:pageBreakBefore w:val="0"/>
        <w:widowControl/>
        <w:kinsoku w:val="0"/>
        <w:wordWrap/>
        <w:overflowPunct/>
        <w:topLinePunct w:val="0"/>
        <w:autoSpaceDE w:val="0"/>
        <w:autoSpaceDN w:val="0"/>
        <w:bidi w:val="0"/>
        <w:adjustRightInd w:val="0"/>
        <w:snapToGrid w:val="0"/>
        <w:spacing w:before="248" w:line="360" w:lineRule="auto"/>
        <w:ind w:left="38" w:right="86" w:firstLine="63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2023 年度一般公共预算财政拨款支出年初预算为</w:t>
      </w:r>
      <w:r>
        <w:rPr>
          <w:rFonts w:hint="eastAsia" w:ascii="仿宋_GB2312" w:hAnsi="仿宋_GB2312" w:eastAsia="仿宋_GB2312" w:cs="仿宋_GB2312"/>
          <w:spacing w:val="33"/>
          <w:sz w:val="32"/>
          <w:szCs w:val="32"/>
          <w:lang w:val="en-US" w:eastAsia="zh-CN"/>
        </w:rPr>
        <w:t>1165.81</w:t>
      </w:r>
      <w:r>
        <w:rPr>
          <w:rFonts w:hint="eastAsia" w:ascii="仿宋_GB2312" w:hAnsi="仿宋_GB2312" w:eastAsia="仿宋_GB2312" w:cs="仿宋_GB2312"/>
          <w:spacing w:val="12"/>
          <w:sz w:val="32"/>
          <w:szCs w:val="32"/>
        </w:rPr>
        <w:t>万</w:t>
      </w:r>
      <w:r>
        <w:rPr>
          <w:rFonts w:hint="eastAsia" w:ascii="仿宋_GB2312" w:hAnsi="仿宋_GB2312" w:eastAsia="仿宋_GB2312" w:cs="仿宋_GB2312"/>
          <w:spacing w:val="1"/>
          <w:sz w:val="32"/>
          <w:szCs w:val="32"/>
        </w:rPr>
        <w:t xml:space="preserve"> </w:t>
      </w:r>
      <w:r>
        <w:rPr>
          <w:rFonts w:hint="eastAsia" w:ascii="仿宋_GB2312" w:hAnsi="仿宋_GB2312" w:eastAsia="仿宋_GB2312" w:cs="仿宋_GB2312"/>
          <w:spacing w:val="4"/>
          <w:sz w:val="32"/>
          <w:szCs w:val="32"/>
        </w:rPr>
        <w:t>元，支出决算为</w:t>
      </w:r>
      <w:r>
        <w:rPr>
          <w:rFonts w:hint="eastAsia" w:ascii="仿宋_GB2312" w:hAnsi="仿宋_GB2312" w:eastAsia="仿宋_GB2312" w:cs="仿宋_GB2312"/>
          <w:spacing w:val="4"/>
          <w:sz w:val="32"/>
          <w:szCs w:val="32"/>
          <w:lang w:val="en-US" w:eastAsia="zh-CN"/>
        </w:rPr>
        <w:t>3014.47</w:t>
      </w:r>
      <w:r>
        <w:rPr>
          <w:rFonts w:hint="eastAsia" w:ascii="仿宋_GB2312" w:hAnsi="仿宋_GB2312" w:eastAsia="仿宋_GB2312" w:cs="仿宋_GB2312"/>
          <w:spacing w:val="4"/>
          <w:sz w:val="32"/>
          <w:szCs w:val="32"/>
        </w:rPr>
        <w:t>万元，完成年初预算的</w:t>
      </w:r>
      <w:r>
        <w:rPr>
          <w:rFonts w:hint="eastAsia" w:ascii="仿宋_GB2312" w:hAnsi="仿宋_GB2312" w:eastAsia="仿宋_GB2312" w:cs="仿宋_GB2312"/>
          <w:spacing w:val="4"/>
          <w:sz w:val="32"/>
          <w:szCs w:val="32"/>
          <w:lang w:val="en-US" w:eastAsia="zh-CN"/>
        </w:rPr>
        <w:t>258.57</w:t>
      </w:r>
      <w:r>
        <w:rPr>
          <w:rFonts w:hint="eastAsia" w:ascii="仿宋_GB2312" w:hAnsi="仿宋_GB2312" w:eastAsia="仿宋_GB2312" w:cs="仿宋_GB2312"/>
          <w:spacing w:val="4"/>
          <w:sz w:val="32"/>
          <w:szCs w:val="32"/>
        </w:rPr>
        <w:t>%。其中：</w:t>
      </w:r>
    </w:p>
    <w:p w14:paraId="6012C5A5">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54" w:line="360" w:lineRule="auto"/>
        <w:ind w:left="-30" w:leftChars="0" w:firstLine="660" w:firstLine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社会保障和就业支出行政事业单位养老支出机关事业单位基本养老保险缴费支出</w:t>
      </w:r>
      <w:r>
        <w:rPr>
          <w:rFonts w:hint="eastAsia" w:ascii="仿宋_GB2312" w:hAnsi="仿宋_GB2312" w:eastAsia="仿宋_GB2312" w:cs="仿宋_GB2312"/>
          <w:spacing w:val="-6"/>
          <w:sz w:val="32"/>
          <w:szCs w:val="32"/>
          <w:lang w:val="en-US" w:eastAsia="zh-CN"/>
        </w:rPr>
        <w:t>46.16</w:t>
      </w:r>
      <w:r>
        <w:rPr>
          <w:rFonts w:hint="eastAsia" w:ascii="仿宋_GB2312" w:hAnsi="仿宋_GB2312" w:eastAsia="仿宋_GB2312" w:cs="仿宋_GB2312"/>
          <w:spacing w:val="-6"/>
          <w:sz w:val="32"/>
          <w:szCs w:val="32"/>
        </w:rPr>
        <w:t>万元</w:t>
      </w:r>
      <w:r>
        <w:rPr>
          <w:rFonts w:hint="eastAsia" w:ascii="仿宋_GB2312" w:hAnsi="仿宋_GB2312" w:eastAsia="仿宋_GB2312" w:cs="仿宋_GB2312"/>
          <w:spacing w:val="-81"/>
          <w:sz w:val="32"/>
          <w:szCs w:val="32"/>
        </w:rPr>
        <w:t xml:space="preserve"> </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0"/>
          <w:sz w:val="32"/>
          <w:szCs w:val="32"/>
        </w:rPr>
        <w:t>年初预算为</w:t>
      </w:r>
      <w:r>
        <w:rPr>
          <w:rFonts w:hint="eastAsia" w:ascii="仿宋_GB2312" w:hAnsi="仿宋_GB2312" w:eastAsia="仿宋_GB2312" w:cs="仿宋_GB2312"/>
          <w:spacing w:val="20"/>
          <w:sz w:val="32"/>
          <w:szCs w:val="32"/>
          <w:lang w:val="en-US" w:eastAsia="zh-CN"/>
        </w:rPr>
        <w:t>46.16</w:t>
      </w:r>
      <w:r>
        <w:rPr>
          <w:rFonts w:hint="eastAsia" w:ascii="仿宋_GB2312" w:hAnsi="仿宋_GB2312" w:eastAsia="仿宋_GB2312" w:cs="仿宋_GB2312"/>
          <w:spacing w:val="20"/>
          <w:sz w:val="32"/>
          <w:szCs w:val="32"/>
        </w:rPr>
        <w:t>万元，</w:t>
      </w:r>
      <w:r>
        <w:rPr>
          <w:rFonts w:hint="eastAsia" w:ascii="仿宋_GB2312" w:hAnsi="仿宋_GB2312" w:eastAsia="仿宋_GB2312" w:cs="仿宋_GB2312"/>
          <w:spacing w:val="-73"/>
          <w:sz w:val="32"/>
          <w:szCs w:val="32"/>
        </w:rPr>
        <w:t xml:space="preserve"> </w:t>
      </w:r>
      <w:r>
        <w:rPr>
          <w:rFonts w:hint="eastAsia" w:ascii="仿宋_GB2312" w:hAnsi="仿宋_GB2312" w:eastAsia="仿宋_GB2312" w:cs="仿宋_GB2312"/>
          <w:spacing w:val="20"/>
          <w:sz w:val="32"/>
          <w:szCs w:val="32"/>
        </w:rPr>
        <w:t>支出决算为</w:t>
      </w:r>
      <w:r>
        <w:rPr>
          <w:rFonts w:hint="eastAsia" w:ascii="仿宋_GB2312" w:hAnsi="仿宋_GB2312" w:eastAsia="仿宋_GB2312" w:cs="仿宋_GB2312"/>
          <w:spacing w:val="58"/>
          <w:sz w:val="32"/>
          <w:szCs w:val="32"/>
          <w:lang w:val="en-US" w:eastAsia="zh-CN"/>
        </w:rPr>
        <w:t>46.16</w:t>
      </w:r>
      <w:r>
        <w:rPr>
          <w:rFonts w:hint="eastAsia" w:ascii="仿宋_GB2312" w:hAnsi="仿宋_GB2312" w:eastAsia="仿宋_GB2312" w:cs="仿宋_GB2312"/>
          <w:spacing w:val="20"/>
          <w:sz w:val="32"/>
          <w:szCs w:val="32"/>
        </w:rPr>
        <w:t>万元，</w:t>
      </w:r>
      <w:r>
        <w:rPr>
          <w:rFonts w:hint="eastAsia" w:ascii="仿宋_GB2312" w:hAnsi="仿宋_GB2312" w:eastAsia="仿宋_GB2312" w:cs="仿宋_GB2312"/>
          <w:spacing w:val="-63"/>
          <w:sz w:val="32"/>
          <w:szCs w:val="32"/>
        </w:rPr>
        <w:t xml:space="preserve"> </w:t>
      </w:r>
      <w:r>
        <w:rPr>
          <w:rFonts w:hint="eastAsia" w:ascii="仿宋_GB2312" w:hAnsi="仿宋_GB2312" w:eastAsia="仿宋_GB2312" w:cs="仿宋_GB2312"/>
          <w:spacing w:val="20"/>
          <w:sz w:val="32"/>
          <w:szCs w:val="32"/>
        </w:rPr>
        <w:t>完成年初预算</w:t>
      </w:r>
      <w:r>
        <w:rPr>
          <w:rFonts w:hint="eastAsia" w:ascii="仿宋_GB2312" w:hAnsi="仿宋_GB2312" w:eastAsia="仿宋_GB2312" w:cs="仿宋_GB2312"/>
          <w:spacing w:val="4"/>
          <w:sz w:val="32"/>
          <w:szCs w:val="32"/>
        </w:rPr>
        <w:t>的</w:t>
      </w:r>
      <w:r>
        <w:rPr>
          <w:rFonts w:hint="eastAsia" w:ascii="仿宋_GB2312" w:hAnsi="仿宋_GB2312" w:eastAsia="仿宋_GB2312" w:cs="仿宋_GB2312"/>
          <w:spacing w:val="4"/>
          <w:sz w:val="32"/>
          <w:szCs w:val="32"/>
          <w:lang w:val="en-US" w:eastAsia="zh-CN"/>
        </w:rPr>
        <w:t>100</w:t>
      </w:r>
      <w:r>
        <w:rPr>
          <w:rFonts w:hint="eastAsia" w:ascii="仿宋_GB2312" w:hAnsi="仿宋_GB2312" w:eastAsia="仿宋_GB2312" w:cs="仿宋_GB2312"/>
          <w:spacing w:val="4"/>
          <w:sz w:val="32"/>
          <w:szCs w:val="32"/>
        </w:rPr>
        <w:t>%。</w:t>
      </w:r>
    </w:p>
    <w:p w14:paraId="56EA5B24">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54" w:line="360" w:lineRule="auto"/>
        <w:ind w:left="-30" w:leftChars="0" w:firstLine="660" w:firstLineChars="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卫生健康支出。 年初预算为</w:t>
      </w:r>
      <w:r>
        <w:rPr>
          <w:rFonts w:hint="eastAsia" w:ascii="仿宋_GB2312" w:hAnsi="仿宋_GB2312" w:eastAsia="仿宋_GB2312" w:cs="仿宋_GB2312"/>
          <w:spacing w:val="-12"/>
          <w:sz w:val="32"/>
          <w:szCs w:val="32"/>
          <w:lang w:val="en-US" w:eastAsia="zh-CN"/>
        </w:rPr>
        <w:t>1069.35</w:t>
      </w:r>
      <w:r>
        <w:rPr>
          <w:rFonts w:hint="eastAsia" w:ascii="仿宋_GB2312" w:hAnsi="仿宋_GB2312" w:eastAsia="仿宋_GB2312" w:cs="仿宋_GB2312"/>
          <w:spacing w:val="-12"/>
          <w:sz w:val="32"/>
          <w:szCs w:val="32"/>
        </w:rPr>
        <w:t>万元， 支出决算为</w:t>
      </w:r>
      <w:r>
        <w:rPr>
          <w:rFonts w:hint="eastAsia" w:ascii="仿宋_GB2312" w:hAnsi="仿宋_GB2312" w:eastAsia="仿宋_GB2312" w:cs="仿宋_GB2312"/>
          <w:spacing w:val="-12"/>
          <w:sz w:val="32"/>
          <w:szCs w:val="32"/>
          <w:lang w:val="en-US" w:eastAsia="zh-CN"/>
        </w:rPr>
        <w:t>374.52</w:t>
      </w:r>
      <w:r>
        <w:rPr>
          <w:rFonts w:hint="eastAsia" w:ascii="仿宋_GB2312" w:hAnsi="仿宋_GB2312" w:eastAsia="仿宋_GB2312" w:cs="仿宋_GB2312"/>
          <w:spacing w:val="-12"/>
          <w:sz w:val="32"/>
          <w:szCs w:val="32"/>
        </w:rPr>
        <w:t>万元，完成年初预算的</w:t>
      </w:r>
      <w:r>
        <w:rPr>
          <w:rFonts w:hint="eastAsia" w:ascii="仿宋_GB2312" w:hAnsi="仿宋_GB2312" w:eastAsia="仿宋_GB2312" w:cs="仿宋_GB2312"/>
          <w:spacing w:val="-12"/>
          <w:sz w:val="32"/>
          <w:szCs w:val="32"/>
          <w:lang w:val="en-US" w:eastAsia="zh-CN"/>
        </w:rPr>
        <w:t>35.02</w:t>
      </w:r>
      <w:r>
        <w:rPr>
          <w:rFonts w:hint="eastAsia" w:ascii="仿宋_GB2312" w:hAnsi="仿宋_GB2312" w:eastAsia="仿宋_GB2312" w:cs="仿宋_GB2312"/>
          <w:spacing w:val="-12"/>
          <w:sz w:val="32"/>
          <w:szCs w:val="32"/>
        </w:rPr>
        <w:t>%。决算数</w:t>
      </w:r>
      <w:r>
        <w:rPr>
          <w:rFonts w:hint="eastAsia" w:ascii="仿宋_GB2312" w:hAnsi="仿宋_GB2312" w:eastAsia="仿宋_GB2312" w:cs="仿宋_GB2312"/>
          <w:spacing w:val="-12"/>
          <w:sz w:val="32"/>
          <w:szCs w:val="32"/>
          <w:lang w:val="en-US" w:eastAsia="zh-CN"/>
        </w:rPr>
        <w:t>小</w:t>
      </w:r>
      <w:r>
        <w:rPr>
          <w:rFonts w:hint="eastAsia" w:ascii="仿宋_GB2312" w:hAnsi="仿宋_GB2312" w:eastAsia="仿宋_GB2312" w:cs="仿宋_GB2312"/>
          <w:spacing w:val="-12"/>
          <w:sz w:val="32"/>
          <w:szCs w:val="32"/>
        </w:rPr>
        <w:t>于预算数的主要原因是</w:t>
      </w:r>
      <w:r>
        <w:rPr>
          <w:rFonts w:hint="eastAsia" w:ascii="仿宋_GB2312" w:hAnsi="仿宋_GB2312" w:eastAsia="仿宋_GB2312" w:cs="仿宋_GB2312"/>
          <w:spacing w:val="-12"/>
          <w:sz w:val="32"/>
          <w:szCs w:val="32"/>
          <w:lang w:val="en-US" w:eastAsia="zh-CN"/>
        </w:rPr>
        <w:t>缩减支出</w:t>
      </w:r>
      <w:r>
        <w:rPr>
          <w:rFonts w:hint="eastAsia" w:ascii="仿宋_GB2312" w:hAnsi="仿宋_GB2312" w:eastAsia="仿宋_GB2312" w:cs="仿宋_GB2312"/>
          <w:spacing w:val="-12"/>
          <w:sz w:val="32"/>
          <w:szCs w:val="32"/>
        </w:rPr>
        <w:t>。</w:t>
      </w:r>
    </w:p>
    <w:p w14:paraId="7E629B1B">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54" w:line="360" w:lineRule="auto"/>
        <w:ind w:left="-30" w:leftChars="0" w:firstLine="660" w:firstLineChars="0"/>
        <w:textAlignment w:val="baseline"/>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住房保障支出住房改革支出。年初预算为</w:t>
      </w:r>
      <w:r>
        <w:rPr>
          <w:rFonts w:hint="eastAsia" w:ascii="仿宋_GB2312" w:hAnsi="仿宋_GB2312" w:eastAsia="仿宋_GB2312" w:cs="仿宋_GB2312"/>
          <w:spacing w:val="-12"/>
          <w:sz w:val="32"/>
          <w:szCs w:val="32"/>
          <w:lang w:val="en-US" w:eastAsia="zh-CN"/>
        </w:rPr>
        <w:t>50.31</w:t>
      </w:r>
      <w:r>
        <w:rPr>
          <w:rFonts w:hint="eastAsia" w:ascii="仿宋_GB2312" w:hAnsi="仿宋_GB2312" w:eastAsia="仿宋_GB2312" w:cs="仿宋_GB2312"/>
          <w:spacing w:val="-12"/>
          <w:sz w:val="32"/>
          <w:szCs w:val="32"/>
        </w:rPr>
        <w:t>万元， 支出决算为</w:t>
      </w:r>
      <w:r>
        <w:rPr>
          <w:rFonts w:hint="eastAsia" w:ascii="仿宋_GB2312" w:hAnsi="仿宋_GB2312" w:eastAsia="仿宋_GB2312" w:cs="仿宋_GB2312"/>
          <w:spacing w:val="-12"/>
          <w:sz w:val="32"/>
          <w:szCs w:val="32"/>
          <w:lang w:val="en-US" w:eastAsia="zh-CN"/>
        </w:rPr>
        <w:t>69.01</w:t>
      </w:r>
      <w:r>
        <w:rPr>
          <w:rFonts w:hint="eastAsia" w:ascii="仿宋_GB2312" w:hAnsi="仿宋_GB2312" w:eastAsia="仿宋_GB2312" w:cs="仿宋_GB2312"/>
          <w:spacing w:val="-12"/>
          <w:sz w:val="32"/>
          <w:szCs w:val="32"/>
        </w:rPr>
        <w:t>万元，完成年初预算的</w:t>
      </w:r>
      <w:r>
        <w:rPr>
          <w:rFonts w:hint="eastAsia" w:ascii="仿宋_GB2312" w:hAnsi="仿宋_GB2312" w:eastAsia="仿宋_GB2312" w:cs="仿宋_GB2312"/>
          <w:spacing w:val="-12"/>
          <w:sz w:val="32"/>
          <w:szCs w:val="32"/>
          <w:lang w:val="en-US" w:eastAsia="zh-CN"/>
        </w:rPr>
        <w:t>137.17</w:t>
      </w:r>
      <w:r>
        <w:rPr>
          <w:rFonts w:hint="eastAsia" w:ascii="仿宋_GB2312" w:hAnsi="仿宋_GB2312" w:eastAsia="仿宋_GB2312" w:cs="仿宋_GB2312"/>
          <w:spacing w:val="-12"/>
          <w:sz w:val="32"/>
          <w:szCs w:val="32"/>
        </w:rPr>
        <w:t>%。决算数</w:t>
      </w:r>
      <w:r>
        <w:rPr>
          <w:rFonts w:hint="eastAsia" w:ascii="仿宋_GB2312" w:hAnsi="仿宋_GB2312" w:eastAsia="仿宋_GB2312" w:cs="仿宋_GB2312"/>
          <w:spacing w:val="-12"/>
          <w:sz w:val="32"/>
          <w:szCs w:val="32"/>
          <w:lang w:val="en-US" w:eastAsia="zh-CN"/>
        </w:rPr>
        <w:t>大</w:t>
      </w:r>
      <w:r>
        <w:rPr>
          <w:rFonts w:hint="eastAsia" w:ascii="仿宋_GB2312" w:hAnsi="仿宋_GB2312" w:eastAsia="仿宋_GB2312" w:cs="仿宋_GB2312"/>
          <w:spacing w:val="-12"/>
          <w:sz w:val="32"/>
          <w:szCs w:val="32"/>
        </w:rPr>
        <w:t>于预算数的主要原因是</w:t>
      </w:r>
      <w:r>
        <w:rPr>
          <w:rFonts w:hint="eastAsia" w:ascii="仿宋_GB2312" w:hAnsi="仿宋_GB2312" w:eastAsia="仿宋_GB2312" w:cs="仿宋_GB2312"/>
          <w:spacing w:val="-12"/>
          <w:sz w:val="32"/>
          <w:szCs w:val="32"/>
          <w:lang w:val="en-US" w:eastAsia="zh-CN"/>
        </w:rPr>
        <w:t>人员增加，支出增加</w:t>
      </w:r>
      <w:r>
        <w:rPr>
          <w:rFonts w:hint="eastAsia" w:ascii="仿宋_GB2312" w:hAnsi="仿宋_GB2312" w:eastAsia="仿宋_GB2312" w:cs="仿宋_GB2312"/>
          <w:spacing w:val="-12"/>
          <w:sz w:val="32"/>
          <w:szCs w:val="32"/>
        </w:rPr>
        <w:t xml:space="preserve">。 </w:t>
      </w:r>
    </w:p>
    <w:p w14:paraId="23B32B61">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7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六、一般公共预算财政拨款基本支出决算情况说明</w:t>
      </w:r>
    </w:p>
    <w:p w14:paraId="39051DFB">
      <w:pPr>
        <w:keepNext w:val="0"/>
        <w:keepLines w:val="0"/>
        <w:pageBreakBefore w:val="0"/>
        <w:widowControl/>
        <w:kinsoku w:val="0"/>
        <w:wordWrap/>
        <w:overflowPunct/>
        <w:topLinePunct w:val="0"/>
        <w:autoSpaceDE w:val="0"/>
        <w:autoSpaceDN w:val="0"/>
        <w:bidi w:val="0"/>
        <w:adjustRightInd w:val="0"/>
        <w:snapToGrid w:val="0"/>
        <w:spacing w:before="247" w:line="360" w:lineRule="auto"/>
        <w:ind w:left="64" w:right="96" w:firstLine="607"/>
        <w:textAlignment w:val="baseline"/>
        <w:rPr>
          <w:rFonts w:hint="eastAsia" w:ascii="仿宋_GB2312" w:hAnsi="仿宋_GB2312" w:eastAsia="仿宋_GB2312" w:cs="仿宋_GB2312"/>
          <w:spacing w:val="-30"/>
          <w:sz w:val="32"/>
          <w:szCs w:val="32"/>
        </w:rPr>
      </w:pPr>
      <w:r>
        <w:rPr>
          <w:rFonts w:hint="eastAsia" w:ascii="仿宋_GB2312" w:hAnsi="仿宋_GB2312" w:eastAsia="仿宋_GB2312" w:cs="仿宋_GB2312"/>
          <w:spacing w:val="12"/>
          <w:sz w:val="32"/>
          <w:szCs w:val="32"/>
        </w:rPr>
        <w:t>2023年度一般公共预算财政拨款基本支出</w:t>
      </w:r>
      <w:r>
        <w:rPr>
          <w:rFonts w:hint="eastAsia" w:ascii="仿宋_GB2312" w:hAnsi="仿宋_GB2312" w:eastAsia="仿宋_GB2312" w:cs="仿宋_GB2312"/>
          <w:spacing w:val="33"/>
          <w:sz w:val="32"/>
          <w:szCs w:val="32"/>
          <w:lang w:val="en-US" w:eastAsia="zh-CN"/>
        </w:rPr>
        <w:t>1232.38</w:t>
      </w:r>
      <w:r>
        <w:rPr>
          <w:rFonts w:hint="eastAsia" w:ascii="仿宋_GB2312" w:hAnsi="仿宋_GB2312" w:eastAsia="仿宋_GB2312" w:cs="仿宋_GB2312"/>
          <w:spacing w:val="12"/>
          <w:sz w:val="32"/>
          <w:szCs w:val="32"/>
        </w:rPr>
        <w:t>万元，其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30"/>
          <w:sz w:val="32"/>
          <w:szCs w:val="32"/>
        </w:rPr>
        <w:t>中：</w:t>
      </w:r>
    </w:p>
    <w:p w14:paraId="3B76E5FF">
      <w:pPr>
        <w:keepNext w:val="0"/>
        <w:keepLines w:val="0"/>
        <w:pageBreakBefore w:val="0"/>
        <w:widowControl/>
        <w:kinsoku w:val="0"/>
        <w:wordWrap/>
        <w:overflowPunct/>
        <w:topLinePunct w:val="0"/>
        <w:autoSpaceDE w:val="0"/>
        <w:autoSpaceDN w:val="0"/>
        <w:bidi w:val="0"/>
        <w:adjustRightInd w:val="0"/>
        <w:snapToGrid w:val="0"/>
        <w:spacing w:before="53" w:line="360" w:lineRule="auto"/>
        <w:ind w:right="98" w:firstLine="671"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7"/>
          <w:sz w:val="32"/>
          <w:szCs w:val="32"/>
        </w:rPr>
        <w:t>人员经费</w:t>
      </w:r>
      <w:r>
        <w:rPr>
          <w:rFonts w:hint="eastAsia" w:ascii="仿宋_GB2312" w:hAnsi="仿宋_GB2312" w:eastAsia="仿宋_GB2312" w:cs="仿宋_GB2312"/>
          <w:spacing w:val="7"/>
          <w:sz w:val="32"/>
          <w:szCs w:val="32"/>
          <w:lang w:val="en-US" w:eastAsia="zh-CN"/>
        </w:rPr>
        <w:t>704.12</w:t>
      </w:r>
      <w:r>
        <w:rPr>
          <w:rFonts w:hint="eastAsia" w:ascii="仿宋_GB2312" w:hAnsi="仿宋_GB2312" w:eastAsia="仿宋_GB2312" w:cs="仿宋_GB2312"/>
          <w:b/>
          <w:bCs/>
          <w:spacing w:val="7"/>
          <w:sz w:val="32"/>
          <w:szCs w:val="32"/>
        </w:rPr>
        <w:t>万元</w:t>
      </w:r>
      <w:r>
        <w:rPr>
          <w:rFonts w:hint="eastAsia" w:ascii="仿宋_GB2312" w:hAnsi="仿宋_GB2312" w:eastAsia="仿宋_GB2312" w:cs="仿宋_GB2312"/>
          <w:spacing w:val="7"/>
          <w:sz w:val="32"/>
          <w:szCs w:val="32"/>
        </w:rPr>
        <w:t>，主要包括：基本工资、津贴补贴、奖</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9"/>
          <w:sz w:val="32"/>
          <w:szCs w:val="32"/>
        </w:rPr>
        <w:t>金、伙食补助费、绩效工资、机关事业单位基</w:t>
      </w:r>
      <w:r>
        <w:rPr>
          <w:rFonts w:hint="eastAsia" w:ascii="仿宋_GB2312" w:hAnsi="仿宋_GB2312" w:eastAsia="仿宋_GB2312" w:cs="仿宋_GB2312"/>
          <w:spacing w:val="8"/>
          <w:sz w:val="32"/>
          <w:szCs w:val="32"/>
        </w:rPr>
        <w:t>本养老保险缴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费、职业年金缴费、职工基本医疗保险缴费</w:t>
      </w:r>
      <w:r>
        <w:rPr>
          <w:rFonts w:hint="eastAsia" w:ascii="仿宋_GB2312" w:hAnsi="仿宋_GB2312" w:eastAsia="仿宋_GB2312" w:cs="仿宋_GB2312"/>
          <w:spacing w:val="5"/>
          <w:sz w:val="32"/>
          <w:szCs w:val="32"/>
        </w:rPr>
        <w:t>、住房公积金</w:t>
      </w:r>
      <w:r>
        <w:rPr>
          <w:rFonts w:hint="eastAsia" w:ascii="仿宋_GB2312" w:hAnsi="仿宋_GB2312" w:eastAsia="仿宋_GB2312" w:cs="仿宋_GB2312"/>
          <w:spacing w:val="8"/>
          <w:sz w:val="32"/>
          <w:szCs w:val="32"/>
        </w:rPr>
        <w:t>。</w:t>
      </w:r>
    </w:p>
    <w:p w14:paraId="2567A471">
      <w:pPr>
        <w:keepNext w:val="0"/>
        <w:keepLines w:val="0"/>
        <w:pageBreakBefore w:val="0"/>
        <w:widowControl/>
        <w:kinsoku w:val="0"/>
        <w:wordWrap/>
        <w:overflowPunct/>
        <w:topLinePunct w:val="0"/>
        <w:autoSpaceDE w:val="0"/>
        <w:autoSpaceDN w:val="0"/>
        <w:bidi w:val="0"/>
        <w:adjustRightInd w:val="0"/>
        <w:snapToGrid w:val="0"/>
        <w:spacing w:before="53" w:line="360" w:lineRule="auto"/>
        <w:ind w:right="98" w:firstLine="639" w:firstLineChars="2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b/>
          <w:bCs/>
          <w:spacing w:val="-1"/>
          <w:sz w:val="32"/>
          <w:szCs w:val="32"/>
        </w:rPr>
        <w:t>公用经</w:t>
      </w:r>
      <w:r>
        <w:rPr>
          <w:rFonts w:hint="eastAsia" w:ascii="仿宋_GB2312" w:hAnsi="仿宋_GB2312" w:eastAsia="仿宋_GB2312" w:cs="仿宋_GB2312"/>
          <w:b/>
          <w:bCs/>
          <w:spacing w:val="-1"/>
          <w:sz w:val="32"/>
          <w:szCs w:val="32"/>
          <w:lang w:val="en-US" w:eastAsia="zh-CN"/>
        </w:rPr>
        <w:t>1187.99</w:t>
      </w:r>
      <w:r>
        <w:rPr>
          <w:rFonts w:hint="eastAsia" w:ascii="仿宋_GB2312" w:hAnsi="仿宋_GB2312" w:eastAsia="仿宋_GB2312" w:cs="仿宋_GB2312"/>
          <w:b/>
          <w:bCs/>
          <w:spacing w:val="-1"/>
          <w:sz w:val="32"/>
          <w:szCs w:val="32"/>
        </w:rPr>
        <w:t>万元</w:t>
      </w:r>
      <w:r>
        <w:rPr>
          <w:rFonts w:hint="eastAsia" w:ascii="仿宋_GB2312" w:hAnsi="仿宋_GB2312" w:eastAsia="仿宋_GB2312" w:cs="仿宋_GB2312"/>
          <w:spacing w:val="-1"/>
          <w:sz w:val="32"/>
          <w:szCs w:val="32"/>
        </w:rPr>
        <w:t>，主要包括：办公费、印刷费、</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9"/>
          <w:sz w:val="32"/>
          <w:szCs w:val="32"/>
        </w:rPr>
        <w:t>手续费、水费、电费、邮电费、取暖费、物业</w:t>
      </w:r>
      <w:r>
        <w:rPr>
          <w:rFonts w:hint="eastAsia" w:ascii="仿宋_GB2312" w:hAnsi="仿宋_GB2312" w:eastAsia="仿宋_GB2312" w:cs="仿宋_GB2312"/>
          <w:spacing w:val="8"/>
          <w:sz w:val="32"/>
          <w:szCs w:val="32"/>
        </w:rPr>
        <w:t>管理费、</w:t>
      </w:r>
      <w:r>
        <w:rPr>
          <w:rFonts w:hint="eastAsia" w:ascii="仿宋_GB2312" w:hAnsi="仿宋_GB2312" w:eastAsia="仿宋_GB2312" w:cs="仿宋_GB2312"/>
          <w:sz w:val="32"/>
          <w:szCs w:val="32"/>
        </w:rPr>
        <w:t>因公出国（境）费、维修（护）费、</w:t>
      </w:r>
      <w:r>
        <w:rPr>
          <w:rFonts w:hint="eastAsia" w:ascii="仿宋_GB2312" w:hAnsi="仿宋_GB2312" w:eastAsia="仿宋_GB2312" w:cs="仿宋_GB2312"/>
          <w:spacing w:val="9"/>
          <w:sz w:val="32"/>
          <w:szCs w:val="32"/>
        </w:rPr>
        <w:t>专用材料费、被装购置费、专</w:t>
      </w:r>
      <w:r>
        <w:rPr>
          <w:rFonts w:hint="eastAsia" w:ascii="仿宋_GB2312" w:hAnsi="仿宋_GB2312" w:eastAsia="仿宋_GB2312" w:cs="仿宋_GB2312"/>
          <w:spacing w:val="8"/>
          <w:sz w:val="32"/>
          <w:szCs w:val="32"/>
        </w:rPr>
        <w:t>用燃料</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费、劳务费、委托业务费、工会经费、福利费、公</w:t>
      </w:r>
      <w:r>
        <w:rPr>
          <w:rFonts w:hint="eastAsia" w:ascii="仿宋_GB2312" w:hAnsi="仿宋_GB2312" w:eastAsia="仿宋_GB2312" w:cs="仿宋_GB2312"/>
          <w:spacing w:val="8"/>
          <w:sz w:val="32"/>
          <w:szCs w:val="32"/>
        </w:rPr>
        <w:t>务用车运</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行维护费、其他交通费用、税金及附加费用、其</w:t>
      </w:r>
      <w:r>
        <w:rPr>
          <w:rFonts w:hint="eastAsia" w:ascii="仿宋_GB2312" w:hAnsi="仿宋_GB2312" w:eastAsia="仿宋_GB2312" w:cs="仿宋_GB2312"/>
          <w:spacing w:val="8"/>
          <w:sz w:val="32"/>
          <w:szCs w:val="32"/>
        </w:rPr>
        <w:t>他商品和服</w:t>
      </w:r>
      <w:r>
        <w:rPr>
          <w:rFonts w:hint="eastAsia" w:ascii="仿宋_GB2312" w:hAnsi="仿宋_GB2312" w:eastAsia="仿宋_GB2312" w:cs="仿宋_GB2312"/>
          <w:spacing w:val="9"/>
          <w:sz w:val="32"/>
          <w:szCs w:val="32"/>
        </w:rPr>
        <w:t>务支出、办公设备购置</w:t>
      </w:r>
      <w:r>
        <w:rPr>
          <w:rFonts w:hint="eastAsia" w:ascii="仿宋_GB2312" w:hAnsi="仿宋_GB2312" w:eastAsia="仿宋_GB2312" w:cs="仿宋_GB2312"/>
          <w:spacing w:val="9"/>
          <w:sz w:val="32"/>
          <w:szCs w:val="32"/>
          <w:lang w:eastAsia="zh-CN"/>
        </w:rPr>
        <w:t>。</w:t>
      </w:r>
    </w:p>
    <w:p w14:paraId="2A43199F">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4" w:line="360" w:lineRule="auto"/>
        <w:jc w:val="left"/>
        <w:textAlignment w:val="baseline"/>
        <w:rPr>
          <w:rFonts w:hint="eastAsia" w:ascii="仿宋_GB2312" w:hAnsi="仿宋_GB2312" w:eastAsia="仿宋_GB2312" w:cs="仿宋_GB2312"/>
          <w:spacing w:val="-12"/>
          <w:sz w:val="32"/>
          <w:szCs w:val="32"/>
        </w:rPr>
      </w:pPr>
    </w:p>
    <w:p w14:paraId="1DF42744">
      <w:pPr>
        <w:keepNext w:val="0"/>
        <w:keepLines w:val="0"/>
        <w:pageBreakBefore w:val="0"/>
        <w:widowControl/>
        <w:kinsoku w:val="0"/>
        <w:wordWrap/>
        <w:overflowPunct/>
        <w:topLinePunct w:val="0"/>
        <w:autoSpaceDE w:val="0"/>
        <w:autoSpaceDN w:val="0"/>
        <w:bidi w:val="0"/>
        <w:adjustRightInd w:val="0"/>
        <w:snapToGrid w:val="0"/>
        <w:spacing w:before="101" w:line="360" w:lineRule="auto"/>
        <w:ind w:firstLine="338" w:firstLineChars="1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七、政府性基金预算财政拨款收入支出决算</w:t>
      </w:r>
      <w:r>
        <w:rPr>
          <w:rFonts w:hint="eastAsia" w:ascii="仿宋_GB2312" w:hAnsi="仿宋_GB2312" w:eastAsia="仿宋_GB2312" w:cs="仿宋_GB2312"/>
          <w:spacing w:val="8"/>
          <w:sz w:val="32"/>
          <w:szCs w:val="32"/>
        </w:rPr>
        <w:t>情况说明</w:t>
      </w:r>
    </w:p>
    <w:p w14:paraId="10377CCE">
      <w:pPr>
        <w:keepNext w:val="0"/>
        <w:keepLines w:val="0"/>
        <w:pageBreakBefore w:val="0"/>
        <w:widowControl/>
        <w:kinsoku w:val="0"/>
        <w:wordWrap/>
        <w:overflowPunct/>
        <w:topLinePunct w:val="0"/>
        <w:autoSpaceDE w:val="0"/>
        <w:autoSpaceDN w:val="0"/>
        <w:bidi w:val="0"/>
        <w:adjustRightInd w:val="0"/>
        <w:snapToGrid w:val="0"/>
        <w:spacing w:before="158" w:line="360" w:lineRule="auto"/>
        <w:ind w:left="746"/>
        <w:textAlignment w:val="baseline"/>
        <w:rPr>
          <w:rFonts w:hint="eastAsia" w:ascii="仿宋_GB2312" w:hAnsi="仿宋_GB2312" w:eastAsia="仿宋_GB2312" w:cs="仿宋_GB2312"/>
          <w:spacing w:val="33"/>
          <w:sz w:val="32"/>
          <w:szCs w:val="32"/>
        </w:rPr>
      </w:pPr>
      <w:r>
        <w:rPr>
          <w:rFonts w:hint="eastAsia" w:ascii="仿宋_GB2312" w:hAnsi="仿宋_GB2312" w:eastAsia="仿宋_GB2312" w:cs="仿宋_GB2312"/>
          <w:spacing w:val="33"/>
          <w:sz w:val="32"/>
          <w:szCs w:val="32"/>
        </w:rPr>
        <w:t>2023 年度</w:t>
      </w:r>
      <w:r>
        <w:rPr>
          <w:rFonts w:hint="eastAsia" w:ascii="仿宋_GB2312" w:hAnsi="仿宋_GB2312" w:eastAsia="仿宋_GB2312" w:cs="仿宋_GB2312"/>
          <w:spacing w:val="33"/>
          <w:sz w:val="32"/>
          <w:szCs w:val="32"/>
          <w:lang w:val="en-US" w:eastAsia="zh-CN"/>
        </w:rPr>
        <w:t>无</w:t>
      </w:r>
      <w:r>
        <w:rPr>
          <w:rFonts w:hint="eastAsia" w:ascii="仿宋_GB2312" w:hAnsi="仿宋_GB2312" w:eastAsia="仿宋_GB2312" w:cs="仿宋_GB2312"/>
          <w:spacing w:val="33"/>
          <w:sz w:val="32"/>
          <w:szCs w:val="32"/>
        </w:rPr>
        <w:t>政府性基金预算财政拨款</w:t>
      </w:r>
    </w:p>
    <w:p w14:paraId="018F4BC7">
      <w:pPr>
        <w:keepNext w:val="0"/>
        <w:keepLines w:val="0"/>
        <w:pageBreakBefore w:val="0"/>
        <w:widowControl/>
        <w:kinsoku w:val="0"/>
        <w:wordWrap/>
        <w:overflowPunct/>
        <w:topLinePunct w:val="0"/>
        <w:autoSpaceDE w:val="0"/>
        <w:autoSpaceDN w:val="0"/>
        <w:bidi w:val="0"/>
        <w:adjustRightInd w:val="0"/>
        <w:snapToGrid w:val="0"/>
        <w:spacing w:before="158" w:line="360" w:lineRule="auto"/>
        <w:ind w:firstLine="334" w:firstLineChars="1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八、国有资本经营预算财政拨款支出决算情况说明</w:t>
      </w:r>
    </w:p>
    <w:p w14:paraId="436ADB38">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1002" w:firstLineChars="300"/>
        <w:textAlignment w:val="baseline"/>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2023 年度</w:t>
      </w:r>
      <w:r>
        <w:rPr>
          <w:rFonts w:hint="eastAsia" w:ascii="仿宋_GB2312" w:hAnsi="仿宋_GB2312" w:eastAsia="仿宋_GB2312" w:cs="仿宋_GB2312"/>
          <w:spacing w:val="7"/>
          <w:sz w:val="32"/>
          <w:szCs w:val="32"/>
          <w:lang w:val="en-US" w:eastAsia="zh-CN"/>
        </w:rPr>
        <w:t>无</w:t>
      </w:r>
      <w:r>
        <w:rPr>
          <w:rFonts w:hint="eastAsia" w:ascii="仿宋_GB2312" w:hAnsi="仿宋_GB2312" w:eastAsia="仿宋_GB2312" w:cs="仿宋_GB2312"/>
          <w:spacing w:val="7"/>
          <w:sz w:val="32"/>
          <w:szCs w:val="32"/>
        </w:rPr>
        <w:t>国有资本经营预算</w:t>
      </w:r>
    </w:p>
    <w:p w14:paraId="6EBEE9B6">
      <w:pPr>
        <w:keepNext w:val="0"/>
        <w:keepLines w:val="0"/>
        <w:pageBreakBefore w:val="0"/>
        <w:widowControl/>
        <w:kinsoku w:val="0"/>
        <w:wordWrap/>
        <w:overflowPunct/>
        <w:topLinePunct w:val="0"/>
        <w:autoSpaceDE w:val="0"/>
        <w:autoSpaceDN w:val="0"/>
        <w:bidi w:val="0"/>
        <w:adjustRightInd w:val="0"/>
        <w:snapToGrid w:val="0"/>
        <w:spacing w:line="360" w:lineRule="auto"/>
        <w:ind w:firstLine="336" w:firstLineChars="1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九、财政拨款“三公”经费支出决算情况说明</w:t>
      </w:r>
    </w:p>
    <w:p w14:paraId="2749CC7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5"/>
          <w:sz w:val="32"/>
          <w:szCs w:val="32"/>
        </w:rPr>
        <w:t>一）“三公”经费财政拨款支出决算总体情况说明</w:t>
      </w:r>
    </w:p>
    <w:p w14:paraId="4BE039B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2023</w:t>
      </w:r>
      <w:r>
        <w:rPr>
          <w:rFonts w:hint="eastAsia" w:ascii="仿宋_GB2312" w:hAnsi="仿宋_GB2312" w:eastAsia="仿宋_GB2312" w:cs="仿宋_GB2312"/>
          <w:spacing w:val="-44"/>
          <w:sz w:val="32"/>
          <w:szCs w:val="32"/>
        </w:rPr>
        <w:t xml:space="preserve"> </w:t>
      </w:r>
      <w:r>
        <w:rPr>
          <w:rFonts w:hint="eastAsia" w:ascii="仿宋_GB2312" w:hAnsi="仿宋_GB2312" w:eastAsia="仿宋_GB2312" w:cs="仿宋_GB2312"/>
          <w:spacing w:val="4"/>
          <w:sz w:val="32"/>
          <w:szCs w:val="32"/>
        </w:rPr>
        <w:t>年度“三公”经费财政拨款支出预算为</w:t>
      </w:r>
      <w:r>
        <w:rPr>
          <w:rFonts w:hint="eastAsia" w:ascii="仿宋_GB2312" w:hAnsi="仿宋_GB2312" w:eastAsia="仿宋_GB2312" w:cs="仿宋_GB2312"/>
          <w:spacing w:val="4"/>
          <w:sz w:val="32"/>
          <w:szCs w:val="32"/>
          <w:lang w:val="en-US" w:eastAsia="zh-CN"/>
        </w:rPr>
        <w:t>8.00</w:t>
      </w:r>
      <w:r>
        <w:rPr>
          <w:rFonts w:hint="eastAsia" w:ascii="仿宋_GB2312" w:hAnsi="仿宋_GB2312" w:eastAsia="仿宋_GB2312" w:cs="仿宋_GB2312"/>
          <w:spacing w:val="4"/>
          <w:sz w:val="32"/>
          <w:szCs w:val="32"/>
        </w:rPr>
        <w:t>万元，支</w:t>
      </w:r>
      <w:r>
        <w:rPr>
          <w:rFonts w:hint="eastAsia" w:ascii="仿宋_GB2312" w:hAnsi="仿宋_GB2312" w:eastAsia="仿宋_GB2312" w:cs="仿宋_GB2312"/>
          <w:spacing w:val="-1"/>
          <w:sz w:val="32"/>
          <w:szCs w:val="32"/>
        </w:rPr>
        <w:t>出决算为</w:t>
      </w:r>
      <w:r>
        <w:rPr>
          <w:rFonts w:hint="eastAsia" w:ascii="仿宋_GB2312" w:hAnsi="仿宋_GB2312" w:eastAsia="仿宋_GB2312" w:cs="仿宋_GB2312"/>
          <w:spacing w:val="-1"/>
          <w:sz w:val="32"/>
          <w:szCs w:val="32"/>
          <w:lang w:val="en-US" w:eastAsia="zh-CN"/>
        </w:rPr>
        <w:t>8.00</w:t>
      </w:r>
      <w:r>
        <w:rPr>
          <w:rFonts w:hint="eastAsia" w:ascii="仿宋_GB2312" w:hAnsi="仿宋_GB2312" w:eastAsia="仿宋_GB2312" w:cs="仿宋_GB2312"/>
          <w:spacing w:val="-1"/>
          <w:sz w:val="32"/>
          <w:szCs w:val="32"/>
        </w:rPr>
        <w:t>万元，完成预算的</w:t>
      </w:r>
      <w:r>
        <w:rPr>
          <w:rFonts w:hint="eastAsia" w:ascii="仿宋_GB2312" w:hAnsi="仿宋_GB2312" w:eastAsia="仿宋_GB2312" w:cs="仿宋_GB2312"/>
          <w:spacing w:val="-1"/>
          <w:sz w:val="32"/>
          <w:szCs w:val="32"/>
          <w:lang w:val="en-US" w:eastAsia="zh-CN"/>
        </w:rPr>
        <w:t>100</w:t>
      </w:r>
      <w:r>
        <w:rPr>
          <w:rFonts w:hint="eastAsia" w:ascii="仿宋_GB2312" w:hAnsi="仿宋_GB2312" w:eastAsia="仿宋_GB2312" w:cs="仿宋_GB2312"/>
          <w:spacing w:val="-1"/>
          <w:sz w:val="32"/>
          <w:szCs w:val="32"/>
        </w:rPr>
        <w:t>%；较</w:t>
      </w:r>
      <w:r>
        <w:rPr>
          <w:rFonts w:hint="eastAsia" w:ascii="仿宋_GB2312" w:hAnsi="仿宋_GB2312" w:eastAsia="仿宋_GB2312" w:cs="仿宋_GB2312"/>
          <w:spacing w:val="-26"/>
          <w:sz w:val="32"/>
          <w:szCs w:val="32"/>
        </w:rPr>
        <w:t xml:space="preserve"> </w:t>
      </w:r>
      <w:r>
        <w:rPr>
          <w:rFonts w:hint="eastAsia" w:ascii="仿宋_GB2312" w:hAnsi="仿宋_GB2312" w:eastAsia="仿宋_GB2312" w:cs="仿宋_GB2312"/>
          <w:spacing w:val="-1"/>
          <w:sz w:val="32"/>
          <w:szCs w:val="32"/>
        </w:rPr>
        <w:t>2022</w:t>
      </w:r>
      <w:r>
        <w:rPr>
          <w:rFonts w:hint="eastAsia" w:ascii="仿宋_GB2312" w:hAnsi="仿宋_GB2312" w:eastAsia="仿宋_GB2312" w:cs="仿宋_GB2312"/>
          <w:spacing w:val="-60"/>
          <w:sz w:val="32"/>
          <w:szCs w:val="32"/>
        </w:rPr>
        <w:t xml:space="preserve"> </w:t>
      </w:r>
      <w:r>
        <w:rPr>
          <w:rFonts w:hint="eastAsia" w:ascii="仿宋_GB2312" w:hAnsi="仿宋_GB2312" w:eastAsia="仿宋_GB2312" w:cs="仿宋_GB2312"/>
          <w:spacing w:val="-1"/>
          <w:sz w:val="32"/>
          <w:szCs w:val="32"/>
        </w:rPr>
        <w:t>年度增加</w:t>
      </w:r>
      <w:r>
        <w:rPr>
          <w:rFonts w:hint="eastAsia" w:ascii="仿宋_GB2312" w:hAnsi="仿宋_GB2312" w:eastAsia="仿宋_GB2312" w:cs="仿宋_GB2312"/>
          <w:spacing w:val="-1"/>
          <w:sz w:val="32"/>
          <w:szCs w:val="32"/>
          <w:lang w:val="en-US" w:eastAsia="zh-CN"/>
        </w:rPr>
        <w:t>0</w:t>
      </w:r>
      <w:r>
        <w:rPr>
          <w:rFonts w:hint="eastAsia" w:ascii="仿宋_GB2312" w:hAnsi="仿宋_GB2312" w:eastAsia="仿宋_GB2312" w:cs="仿宋_GB2312"/>
          <w:spacing w:val="4"/>
          <w:sz w:val="32"/>
          <w:szCs w:val="32"/>
        </w:rPr>
        <w:t>万元，增长</w:t>
      </w:r>
      <w:r>
        <w:rPr>
          <w:rFonts w:hint="eastAsia" w:ascii="仿宋_GB2312" w:hAnsi="仿宋_GB2312" w:eastAsia="仿宋_GB2312" w:cs="仿宋_GB2312"/>
          <w:spacing w:val="4"/>
          <w:sz w:val="32"/>
          <w:szCs w:val="32"/>
          <w:lang w:val="en-US" w:eastAsia="zh-CN"/>
        </w:rPr>
        <w:t>0</w:t>
      </w:r>
      <w:r>
        <w:rPr>
          <w:rFonts w:hint="eastAsia" w:ascii="仿宋_GB2312" w:hAnsi="仿宋_GB2312" w:eastAsia="仿宋_GB2312" w:cs="仿宋_GB2312"/>
          <w:spacing w:val="4"/>
          <w:sz w:val="32"/>
          <w:szCs w:val="32"/>
        </w:rPr>
        <w:t>%，主要原因是</w:t>
      </w:r>
      <w:r>
        <w:rPr>
          <w:rFonts w:hint="eastAsia" w:ascii="仿宋_GB2312" w:hAnsi="仿宋_GB2312" w:eastAsia="仿宋_GB2312" w:cs="仿宋_GB2312"/>
          <w:spacing w:val="4"/>
          <w:sz w:val="32"/>
          <w:szCs w:val="32"/>
          <w:lang w:val="en-US" w:eastAsia="zh-CN"/>
        </w:rPr>
        <w:t>缩减支出</w:t>
      </w:r>
      <w:r>
        <w:rPr>
          <w:rFonts w:hint="eastAsia" w:ascii="仿宋_GB2312" w:hAnsi="仿宋_GB2312" w:eastAsia="仿宋_GB2312" w:cs="仿宋_GB2312"/>
          <w:spacing w:val="4"/>
          <w:sz w:val="32"/>
          <w:szCs w:val="32"/>
        </w:rPr>
        <w:t>。</w:t>
      </w:r>
    </w:p>
    <w:p w14:paraId="3EDF4453">
      <w:pPr>
        <w:keepNext w:val="0"/>
        <w:keepLines w:val="0"/>
        <w:pageBreakBefore w:val="0"/>
        <w:widowControl/>
        <w:kinsoku w:val="0"/>
        <w:wordWrap/>
        <w:overflowPunct/>
        <w:topLinePunct w:val="0"/>
        <w:autoSpaceDE w:val="0"/>
        <w:autoSpaceDN w:val="0"/>
        <w:bidi w:val="0"/>
        <w:adjustRightInd w:val="0"/>
        <w:snapToGrid w:val="0"/>
        <w:spacing w:before="50" w:line="360" w:lineRule="auto"/>
        <w:ind w:left="65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（二）“三公”经费财政拨款支出决算具体情况说明</w:t>
      </w:r>
    </w:p>
    <w:p w14:paraId="71FB05DE">
      <w:pPr>
        <w:keepNext w:val="0"/>
        <w:keepLines w:val="0"/>
        <w:pageBreakBefore w:val="0"/>
        <w:widowControl/>
        <w:kinsoku w:val="0"/>
        <w:wordWrap/>
        <w:overflowPunct/>
        <w:topLinePunct w:val="0"/>
        <w:autoSpaceDE w:val="0"/>
        <w:autoSpaceDN w:val="0"/>
        <w:bidi w:val="0"/>
        <w:adjustRightInd w:val="0"/>
        <w:snapToGrid w:val="0"/>
        <w:spacing w:before="57" w:line="360" w:lineRule="auto"/>
        <w:ind w:left="23" w:right="156" w:firstLine="648"/>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21"/>
          <w:sz w:val="32"/>
          <w:szCs w:val="32"/>
          <w:lang w:val="en-US" w:eastAsia="zh-CN"/>
        </w:rPr>
        <w:t>1</w:t>
      </w:r>
      <w:r>
        <w:rPr>
          <w:rFonts w:hint="eastAsia" w:ascii="仿宋_GB2312" w:hAnsi="仿宋_GB2312" w:eastAsia="仿宋_GB2312" w:cs="仿宋_GB2312"/>
          <w:spacing w:val="21"/>
          <w:sz w:val="32"/>
          <w:szCs w:val="32"/>
        </w:rPr>
        <w:t>.公务用车购置及运行费预算为</w:t>
      </w:r>
      <w:r>
        <w:rPr>
          <w:rFonts w:hint="eastAsia" w:ascii="仿宋_GB2312" w:hAnsi="仿宋_GB2312" w:eastAsia="仿宋_GB2312" w:cs="仿宋_GB2312"/>
          <w:spacing w:val="21"/>
          <w:sz w:val="32"/>
          <w:szCs w:val="32"/>
          <w:lang w:val="en-US" w:eastAsia="zh-CN"/>
        </w:rPr>
        <w:t>8.00</w:t>
      </w:r>
      <w:r>
        <w:rPr>
          <w:rFonts w:hint="eastAsia" w:ascii="仿宋_GB2312" w:hAnsi="仿宋_GB2312" w:eastAsia="仿宋_GB2312" w:cs="仿宋_GB2312"/>
          <w:spacing w:val="21"/>
          <w:sz w:val="32"/>
          <w:szCs w:val="32"/>
        </w:rPr>
        <w:t>万元</w:t>
      </w:r>
      <w:r>
        <w:rPr>
          <w:rFonts w:hint="eastAsia" w:ascii="仿宋_GB2312" w:hAnsi="仿宋_GB2312" w:eastAsia="仿宋_GB2312" w:cs="仿宋_GB2312"/>
          <w:spacing w:val="20"/>
          <w:sz w:val="32"/>
          <w:szCs w:val="32"/>
        </w:rPr>
        <w:t>，支出决算为</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pacing w:val="4"/>
          <w:sz w:val="32"/>
          <w:szCs w:val="32"/>
        </w:rPr>
        <w:t>万元，完成预算的</w:t>
      </w:r>
      <w:r>
        <w:rPr>
          <w:rFonts w:hint="eastAsia" w:ascii="仿宋_GB2312" w:hAnsi="仿宋_GB2312" w:eastAsia="仿宋_GB2312" w:cs="仿宋_GB2312"/>
          <w:spacing w:val="4"/>
          <w:sz w:val="32"/>
          <w:szCs w:val="32"/>
          <w:lang w:val="en-US" w:eastAsia="zh-CN"/>
        </w:rPr>
        <w:t>100</w:t>
      </w:r>
      <w:r>
        <w:rPr>
          <w:rFonts w:hint="eastAsia" w:ascii="仿宋_GB2312" w:hAnsi="仿宋_GB2312" w:eastAsia="仿宋_GB2312" w:cs="仿宋_GB2312"/>
          <w:spacing w:val="4"/>
          <w:sz w:val="32"/>
          <w:szCs w:val="32"/>
        </w:rPr>
        <w:t>%；较</w:t>
      </w:r>
      <w:r>
        <w:rPr>
          <w:rFonts w:hint="eastAsia" w:ascii="仿宋_GB2312" w:hAnsi="仿宋_GB2312" w:eastAsia="仿宋_GB2312" w:cs="仿宋_GB2312"/>
          <w:spacing w:val="-57"/>
          <w:sz w:val="32"/>
          <w:szCs w:val="32"/>
        </w:rPr>
        <w:t xml:space="preserve"> </w:t>
      </w:r>
      <w:r>
        <w:rPr>
          <w:rFonts w:hint="eastAsia" w:ascii="仿宋_GB2312" w:hAnsi="仿宋_GB2312" w:eastAsia="仿宋_GB2312" w:cs="仿宋_GB2312"/>
          <w:spacing w:val="4"/>
          <w:sz w:val="32"/>
          <w:szCs w:val="32"/>
        </w:rPr>
        <w:t>2022</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4"/>
          <w:sz w:val="32"/>
          <w:szCs w:val="32"/>
        </w:rPr>
        <w:t>年度增加</w:t>
      </w:r>
      <w:r>
        <w:rPr>
          <w:rFonts w:hint="eastAsia" w:ascii="仿宋_GB2312" w:hAnsi="仿宋_GB2312" w:eastAsia="仿宋_GB2312" w:cs="仿宋_GB2312"/>
          <w:spacing w:val="4"/>
          <w:sz w:val="32"/>
          <w:szCs w:val="32"/>
          <w:lang w:val="en-US" w:eastAsia="zh-CN"/>
        </w:rPr>
        <w:t>0</w:t>
      </w:r>
      <w:r>
        <w:rPr>
          <w:rFonts w:hint="eastAsia" w:ascii="仿宋_GB2312" w:hAnsi="仿宋_GB2312" w:eastAsia="仿宋_GB2312" w:cs="仿宋_GB2312"/>
          <w:spacing w:val="4"/>
          <w:sz w:val="32"/>
          <w:szCs w:val="32"/>
        </w:rPr>
        <w:t>万元，</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增长</w:t>
      </w:r>
      <w:r>
        <w:rPr>
          <w:rFonts w:hint="eastAsia" w:ascii="仿宋_GB2312" w:hAnsi="仿宋_GB2312" w:eastAsia="仿宋_GB2312" w:cs="仿宋_GB2312"/>
          <w:spacing w:val="6"/>
          <w:sz w:val="32"/>
          <w:szCs w:val="32"/>
          <w:lang w:val="en-US" w:eastAsia="zh-CN"/>
        </w:rPr>
        <w:t>0</w:t>
      </w:r>
      <w:r>
        <w:rPr>
          <w:rFonts w:hint="eastAsia" w:ascii="仿宋_GB2312" w:hAnsi="仿宋_GB2312" w:eastAsia="仿宋_GB2312" w:cs="仿宋_GB2312"/>
          <w:spacing w:val="6"/>
          <w:sz w:val="32"/>
          <w:szCs w:val="32"/>
        </w:rPr>
        <w:t>%，主要原因</w:t>
      </w:r>
      <w:r>
        <w:rPr>
          <w:rFonts w:hint="eastAsia" w:ascii="仿宋_GB2312" w:hAnsi="仿宋_GB2312" w:eastAsia="仿宋_GB2312" w:cs="仿宋_GB2312"/>
          <w:spacing w:val="6"/>
          <w:sz w:val="32"/>
          <w:szCs w:val="32"/>
          <w:lang w:val="en-US" w:eastAsia="zh-CN"/>
        </w:rPr>
        <w:t>缩减支出</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9"/>
          <w:sz w:val="32"/>
          <w:szCs w:val="32"/>
        </w:rPr>
        <w:t>其中：</w:t>
      </w:r>
    </w:p>
    <w:p w14:paraId="6BA7B0F4">
      <w:pPr>
        <w:keepNext w:val="0"/>
        <w:keepLines w:val="0"/>
        <w:pageBreakBefore w:val="0"/>
        <w:widowControl/>
        <w:kinsoku w:val="0"/>
        <w:wordWrap/>
        <w:overflowPunct/>
        <w:topLinePunct w:val="0"/>
        <w:autoSpaceDE w:val="0"/>
        <w:autoSpaceDN w:val="0"/>
        <w:bidi w:val="0"/>
        <w:adjustRightInd w:val="0"/>
        <w:snapToGrid w:val="0"/>
        <w:spacing w:before="57" w:line="360" w:lineRule="auto"/>
        <w:ind w:left="23" w:right="156" w:firstLine="648"/>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公务用车购置费支出</w:t>
      </w:r>
      <w:r>
        <w:rPr>
          <w:rFonts w:hint="eastAsia" w:ascii="仿宋_GB2312" w:hAnsi="仿宋_GB2312" w:eastAsia="仿宋_GB2312" w:cs="仿宋_GB2312"/>
          <w:spacing w:val="4"/>
          <w:sz w:val="32"/>
          <w:szCs w:val="32"/>
          <w:lang w:val="en-US" w:eastAsia="zh-CN"/>
        </w:rPr>
        <w:t>0</w:t>
      </w:r>
      <w:r>
        <w:rPr>
          <w:rFonts w:hint="eastAsia" w:ascii="仿宋_GB2312" w:hAnsi="仿宋_GB2312" w:eastAsia="仿宋_GB2312" w:cs="仿宋_GB2312"/>
          <w:spacing w:val="4"/>
          <w:sz w:val="32"/>
          <w:szCs w:val="32"/>
        </w:rPr>
        <w:t>万元。</w:t>
      </w:r>
    </w:p>
    <w:p w14:paraId="46D4B251">
      <w:pPr>
        <w:keepNext w:val="0"/>
        <w:keepLines w:val="0"/>
        <w:pageBreakBefore w:val="0"/>
        <w:widowControl/>
        <w:kinsoku w:val="0"/>
        <w:wordWrap/>
        <w:overflowPunct/>
        <w:topLinePunct w:val="0"/>
        <w:autoSpaceDE w:val="0"/>
        <w:autoSpaceDN w:val="0"/>
        <w:bidi w:val="0"/>
        <w:adjustRightInd w:val="0"/>
        <w:snapToGrid w:val="0"/>
        <w:spacing w:before="54" w:line="360" w:lineRule="auto"/>
        <w:ind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公务用车运行维护费支出</w:t>
      </w:r>
      <w:r>
        <w:rPr>
          <w:rFonts w:hint="eastAsia" w:ascii="仿宋_GB2312" w:hAnsi="仿宋_GB2312" w:eastAsia="仿宋_GB2312" w:cs="仿宋_GB2312"/>
          <w:spacing w:val="3"/>
          <w:sz w:val="32"/>
          <w:szCs w:val="32"/>
          <w:lang w:val="en-US" w:eastAsia="zh-CN"/>
        </w:rPr>
        <w:t>8.00</w:t>
      </w:r>
      <w:r>
        <w:rPr>
          <w:rFonts w:hint="eastAsia" w:ascii="仿宋_GB2312" w:hAnsi="仿宋_GB2312" w:eastAsia="仿宋_GB2312" w:cs="仿宋_GB2312"/>
          <w:spacing w:val="3"/>
          <w:sz w:val="32"/>
          <w:szCs w:val="32"/>
        </w:rPr>
        <w:t>万元，主要是</w:t>
      </w:r>
      <w:r>
        <w:rPr>
          <w:rFonts w:hint="eastAsia" w:ascii="仿宋_GB2312" w:hAnsi="仿宋_GB2312" w:eastAsia="仿宋_GB2312" w:cs="仿宋_GB2312"/>
          <w:spacing w:val="3"/>
          <w:sz w:val="32"/>
          <w:szCs w:val="32"/>
          <w:lang w:val="en-US" w:eastAsia="zh-CN"/>
        </w:rPr>
        <w:t>车辆维修、加油以及车辆年检等</w:t>
      </w:r>
      <w:r>
        <w:rPr>
          <w:rFonts w:hint="eastAsia" w:ascii="仿宋_GB2312" w:hAnsi="仿宋_GB2312" w:eastAsia="仿宋_GB2312" w:cs="仿宋_GB2312"/>
          <w:spacing w:val="3"/>
          <w:sz w:val="32"/>
          <w:szCs w:val="32"/>
        </w:rPr>
        <w:t>。</w:t>
      </w:r>
    </w:p>
    <w:p w14:paraId="08EEF9F0">
      <w:pPr>
        <w:keepNext w:val="0"/>
        <w:keepLines w:val="0"/>
        <w:pageBreakBefore w:val="0"/>
        <w:widowControl/>
        <w:kinsoku w:val="0"/>
        <w:wordWrap/>
        <w:overflowPunct/>
        <w:topLinePunct w:val="0"/>
        <w:autoSpaceDE w:val="0"/>
        <w:autoSpaceDN w:val="0"/>
        <w:bidi w:val="0"/>
        <w:adjustRightInd w:val="0"/>
        <w:snapToGrid w:val="0"/>
        <w:spacing w:before="101" w:line="360" w:lineRule="auto"/>
        <w:ind w:left="750"/>
        <w:textAlignment w:val="baseline"/>
        <w:outlineLvl w:val="3"/>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十、关于</w:t>
      </w:r>
      <w:r>
        <w:rPr>
          <w:rFonts w:hint="eastAsia" w:ascii="仿宋_GB2312" w:hAnsi="仿宋_GB2312" w:eastAsia="仿宋_GB2312" w:cs="仿宋_GB2312"/>
          <w:color w:val="auto"/>
          <w:spacing w:val="-52"/>
          <w:sz w:val="32"/>
          <w:szCs w:val="32"/>
        </w:rPr>
        <w:t xml:space="preserve"> </w:t>
      </w:r>
      <w:r>
        <w:rPr>
          <w:rFonts w:hint="eastAsia" w:ascii="仿宋_GB2312" w:hAnsi="仿宋_GB2312" w:eastAsia="仿宋_GB2312" w:cs="仿宋_GB2312"/>
          <w:color w:val="auto"/>
          <w:spacing w:val="6"/>
          <w:sz w:val="32"/>
          <w:szCs w:val="32"/>
        </w:rPr>
        <w:t>2023</w:t>
      </w:r>
      <w:r>
        <w:rPr>
          <w:rFonts w:hint="eastAsia" w:ascii="仿宋_GB2312" w:hAnsi="仿宋_GB2312" w:eastAsia="仿宋_GB2312" w:cs="仿宋_GB2312"/>
          <w:color w:val="auto"/>
          <w:spacing w:val="-63"/>
          <w:sz w:val="32"/>
          <w:szCs w:val="32"/>
        </w:rPr>
        <w:t xml:space="preserve"> </w:t>
      </w:r>
      <w:r>
        <w:rPr>
          <w:rFonts w:hint="eastAsia" w:ascii="仿宋_GB2312" w:hAnsi="仿宋_GB2312" w:eastAsia="仿宋_GB2312" w:cs="仿宋_GB2312"/>
          <w:color w:val="auto"/>
          <w:spacing w:val="6"/>
          <w:sz w:val="32"/>
          <w:szCs w:val="32"/>
        </w:rPr>
        <w:t>年度绩效评价情况说明</w:t>
      </w:r>
    </w:p>
    <w:p w14:paraId="1D44776D">
      <w:pPr>
        <w:keepNext w:val="0"/>
        <w:keepLines w:val="0"/>
        <w:pageBreakBefore w:val="0"/>
        <w:widowControl/>
        <w:kinsoku w:val="0"/>
        <w:wordWrap/>
        <w:overflowPunct/>
        <w:topLinePunct w:val="0"/>
        <w:autoSpaceDE w:val="0"/>
        <w:autoSpaceDN w:val="0"/>
        <w:bidi w:val="0"/>
        <w:adjustRightInd w:val="0"/>
        <w:snapToGrid w:val="0"/>
        <w:spacing w:before="286" w:line="360" w:lineRule="auto"/>
        <w:ind w:left="21" w:firstLine="65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59"/>
          <w:sz w:val="32"/>
          <w:szCs w:val="32"/>
        </w:rPr>
        <w:t xml:space="preserve"> </w:t>
      </w:r>
      <w:r>
        <w:rPr>
          <w:rFonts w:hint="eastAsia" w:ascii="仿宋_GB2312" w:hAnsi="仿宋_GB2312" w:eastAsia="仿宋_GB2312" w:cs="仿宋_GB2312"/>
          <w:color w:val="auto"/>
          <w:spacing w:val="5"/>
          <w:sz w:val="32"/>
          <w:szCs w:val="32"/>
        </w:rPr>
        <w:t>一</w:t>
      </w:r>
      <w:r>
        <w:rPr>
          <w:rFonts w:hint="eastAsia" w:ascii="仿宋_GB2312" w:hAnsi="仿宋_GB2312" w:eastAsia="仿宋_GB2312" w:cs="仿宋_GB2312"/>
          <w:sz w:val="32"/>
          <w:szCs w:val="32"/>
        </w:rPr>
        <w:t>）绩效评价工作开展情况。</w:t>
      </w:r>
    </w:p>
    <w:p w14:paraId="4BB7DFBD">
      <w:pPr>
        <w:keepNext w:val="0"/>
        <w:keepLines w:val="0"/>
        <w:pageBreakBefore w:val="0"/>
        <w:widowControl/>
        <w:kinsoku w:val="0"/>
        <w:wordWrap/>
        <w:overflowPunct/>
        <w:topLinePunct w:val="0"/>
        <w:autoSpaceDE w:val="0"/>
        <w:autoSpaceDN w:val="0"/>
        <w:bidi w:val="0"/>
        <w:adjustRightInd w:val="0"/>
        <w:snapToGrid w:val="0"/>
        <w:spacing w:before="286" w:line="360" w:lineRule="auto"/>
        <w:ind w:left="21" w:firstLine="65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绩效评价工作开展情况 说明为：根据预算绩效管理要求，本部门组织对 2023 年度 一般公共预算项目支出全面开展绩效自评，其中，一级项目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个，二级项目 </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878.72</w:t>
      </w:r>
      <w:r>
        <w:rPr>
          <w:rFonts w:hint="eastAsia" w:ascii="仿宋_GB2312" w:hAnsi="仿宋_GB2312" w:eastAsia="仿宋_GB2312" w:cs="仿宋_GB2312"/>
          <w:sz w:val="32"/>
          <w:szCs w:val="32"/>
        </w:rPr>
        <w:t>万元， 占一般公共 预算项目支出总额的</w:t>
      </w:r>
      <w:r>
        <w:rPr>
          <w:rFonts w:hint="eastAsia" w:ascii="仿宋_GB2312" w:hAnsi="仿宋_GB2312" w:eastAsia="仿宋_GB2312" w:cs="仿宋_GB2312"/>
          <w:sz w:val="32"/>
          <w:szCs w:val="32"/>
          <w:lang w:val="en-US" w:eastAsia="zh-CN"/>
        </w:rPr>
        <w:t>26.08</w:t>
      </w:r>
      <w:r>
        <w:rPr>
          <w:rFonts w:hint="eastAsia" w:ascii="仿宋_GB2312" w:hAnsi="仿宋_GB2312" w:eastAsia="仿宋_GB2312" w:cs="仿宋_GB2312"/>
          <w:sz w:val="32"/>
          <w:szCs w:val="32"/>
        </w:rPr>
        <w:t>%。</w:t>
      </w:r>
    </w:p>
    <w:p w14:paraId="2B5B7EB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00" w:line="360" w:lineRule="auto"/>
        <w:ind w:left="-44" w:leftChars="0" w:firstLine="996" w:firstLineChars="300"/>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eastAsia="zh-CN"/>
        </w:rPr>
        <w:t>十一</w:t>
      </w:r>
      <w:r>
        <w:rPr>
          <w:rFonts w:hint="eastAsia" w:ascii="仿宋_GB2312" w:hAnsi="仿宋_GB2312" w:eastAsia="仿宋_GB2312" w:cs="仿宋_GB2312"/>
          <w:color w:val="auto"/>
          <w:spacing w:val="6"/>
          <w:sz w:val="32"/>
          <w:szCs w:val="32"/>
        </w:rPr>
        <w:t>、</w:t>
      </w:r>
      <w:r>
        <w:rPr>
          <w:rFonts w:hint="eastAsia" w:ascii="仿宋_GB2312" w:hAnsi="仿宋_GB2312" w:eastAsia="仿宋_GB2312" w:cs="仿宋_GB2312"/>
          <w:spacing w:val="6"/>
          <w:sz w:val="32"/>
          <w:szCs w:val="32"/>
        </w:rPr>
        <w:t>其他重要事项情况说明</w:t>
      </w:r>
    </w:p>
    <w:p w14:paraId="7EEB1032">
      <w:pPr>
        <w:keepNext w:val="0"/>
        <w:keepLines w:val="0"/>
        <w:pageBreakBefore w:val="0"/>
        <w:widowControl/>
        <w:kinsoku w:val="0"/>
        <w:wordWrap/>
        <w:overflowPunct/>
        <w:topLinePunct w:val="0"/>
        <w:autoSpaceDE w:val="0"/>
        <w:autoSpaceDN w:val="0"/>
        <w:bidi w:val="0"/>
        <w:adjustRightInd w:val="0"/>
        <w:snapToGrid w:val="0"/>
        <w:spacing w:before="248" w:line="360" w:lineRule="auto"/>
        <w:ind w:left="658"/>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w:t>
      </w:r>
      <w:r>
        <w:rPr>
          <w:rFonts w:hint="eastAsia" w:ascii="仿宋_GB2312" w:hAnsi="仿宋_GB2312" w:eastAsia="仿宋_GB2312" w:cs="仿宋_GB2312"/>
          <w:spacing w:val="-73"/>
          <w:sz w:val="32"/>
          <w:szCs w:val="32"/>
        </w:rPr>
        <w:t xml:space="preserve"> </w:t>
      </w:r>
      <w:r>
        <w:rPr>
          <w:rFonts w:hint="eastAsia" w:ascii="仿宋_GB2312" w:hAnsi="仿宋_GB2312" w:eastAsia="仿宋_GB2312" w:cs="仿宋_GB2312"/>
          <w:spacing w:val="4"/>
          <w:sz w:val="32"/>
          <w:szCs w:val="32"/>
        </w:rPr>
        <w:t>一）机关运行经费执行情况说明</w:t>
      </w:r>
    </w:p>
    <w:p w14:paraId="0B264133">
      <w:pPr>
        <w:keepNext w:val="0"/>
        <w:keepLines w:val="0"/>
        <w:pageBreakBefore w:val="0"/>
        <w:widowControl/>
        <w:kinsoku w:val="0"/>
        <w:wordWrap/>
        <w:overflowPunct/>
        <w:topLinePunct w:val="0"/>
        <w:autoSpaceDE w:val="0"/>
        <w:autoSpaceDN w:val="0"/>
        <w:bidi w:val="0"/>
        <w:adjustRightInd w:val="0"/>
        <w:snapToGrid w:val="0"/>
        <w:spacing w:before="248" w:line="360" w:lineRule="auto"/>
        <w:ind w:firstLine="656" w:firstLineChars="200"/>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无</w:t>
      </w:r>
      <w:r>
        <w:rPr>
          <w:rFonts w:hint="eastAsia" w:ascii="仿宋_GB2312" w:hAnsi="仿宋_GB2312" w:eastAsia="仿宋_GB2312" w:cs="仿宋_GB2312"/>
          <w:spacing w:val="4"/>
          <w:sz w:val="32"/>
          <w:szCs w:val="32"/>
        </w:rPr>
        <w:t>机关运行经费</w:t>
      </w:r>
      <w:r>
        <w:rPr>
          <w:rFonts w:hint="eastAsia" w:ascii="仿宋_GB2312" w:hAnsi="仿宋_GB2312" w:eastAsia="仿宋_GB2312" w:cs="仿宋_GB2312"/>
          <w:spacing w:val="4"/>
          <w:sz w:val="32"/>
          <w:szCs w:val="32"/>
          <w:lang w:eastAsia="zh-CN"/>
        </w:rPr>
        <w:t>。</w:t>
      </w:r>
    </w:p>
    <w:p w14:paraId="3BE28B6D">
      <w:pPr>
        <w:keepNext w:val="0"/>
        <w:keepLines w:val="0"/>
        <w:pageBreakBefore w:val="0"/>
        <w:widowControl/>
        <w:kinsoku w:val="0"/>
        <w:wordWrap/>
        <w:overflowPunct/>
        <w:topLinePunct w:val="0"/>
        <w:autoSpaceDE w:val="0"/>
        <w:autoSpaceDN w:val="0"/>
        <w:bidi w:val="0"/>
        <w:adjustRightInd w:val="0"/>
        <w:snapToGrid w:val="0"/>
        <w:spacing w:before="48" w:line="360" w:lineRule="auto"/>
        <w:ind w:left="65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（二）政府采购支出情况说明</w:t>
      </w:r>
    </w:p>
    <w:p w14:paraId="2CE92A6C">
      <w:pPr>
        <w:keepNext w:val="0"/>
        <w:keepLines w:val="0"/>
        <w:pageBreakBefore w:val="0"/>
        <w:widowControl/>
        <w:kinsoku w:val="0"/>
        <w:wordWrap/>
        <w:overflowPunct/>
        <w:topLinePunct w:val="0"/>
        <w:autoSpaceDE w:val="0"/>
        <w:autoSpaceDN w:val="0"/>
        <w:bidi w:val="0"/>
        <w:adjustRightInd w:val="0"/>
        <w:snapToGrid w:val="0"/>
        <w:spacing w:before="248" w:line="360" w:lineRule="auto"/>
        <w:ind w:firstLine="656" w:firstLineChars="200"/>
        <w:textAlignment w:val="baseline"/>
        <w:rPr>
          <w:rFonts w:hint="eastAsia" w:ascii="仿宋_GB2312" w:hAnsi="仿宋_GB2312" w:eastAsia="仿宋_GB2312" w:cs="仿宋_GB2312"/>
          <w:spacing w:val="4"/>
          <w:sz w:val="32"/>
          <w:szCs w:val="32"/>
          <w:lang w:val="en-US" w:eastAsia="zh-CN"/>
        </w:rPr>
      </w:pPr>
      <w:r>
        <w:rPr>
          <w:rFonts w:hint="eastAsia" w:ascii="仿宋_GB2312" w:hAnsi="仿宋_GB2312" w:eastAsia="仿宋_GB2312" w:cs="仿宋_GB2312"/>
          <w:spacing w:val="4"/>
          <w:sz w:val="32"/>
          <w:szCs w:val="32"/>
          <w:lang w:val="en-US" w:eastAsia="zh-CN"/>
        </w:rPr>
        <w:t>无</w:t>
      </w:r>
      <w:r>
        <w:rPr>
          <w:rFonts w:hint="eastAsia" w:ascii="仿宋_GB2312" w:hAnsi="仿宋_GB2312" w:eastAsia="仿宋_GB2312" w:cs="仿宋_GB2312"/>
          <w:spacing w:val="9"/>
          <w:sz w:val="32"/>
          <w:szCs w:val="32"/>
        </w:rPr>
        <w:t>政府采购支出</w:t>
      </w:r>
      <w:r>
        <w:rPr>
          <w:rFonts w:hint="eastAsia" w:ascii="仿宋_GB2312" w:hAnsi="仿宋_GB2312" w:eastAsia="仿宋_GB2312" w:cs="仿宋_GB2312"/>
          <w:spacing w:val="9"/>
          <w:sz w:val="32"/>
          <w:szCs w:val="32"/>
          <w:lang w:eastAsia="zh-CN"/>
        </w:rPr>
        <w:t>。</w:t>
      </w:r>
    </w:p>
    <w:p w14:paraId="6686ED07">
      <w:pPr>
        <w:keepNext w:val="0"/>
        <w:keepLines w:val="0"/>
        <w:pageBreakBefore w:val="0"/>
        <w:widowControl/>
        <w:kinsoku w:val="0"/>
        <w:wordWrap/>
        <w:overflowPunct/>
        <w:topLinePunct w:val="0"/>
        <w:autoSpaceDE w:val="0"/>
        <w:autoSpaceDN w:val="0"/>
        <w:bidi w:val="0"/>
        <w:adjustRightInd w:val="0"/>
        <w:snapToGrid w:val="0"/>
        <w:spacing w:before="48" w:line="360" w:lineRule="auto"/>
        <w:ind w:left="65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（三）国有资产占用情况说明</w:t>
      </w:r>
    </w:p>
    <w:p w14:paraId="61BB4747">
      <w:pPr>
        <w:keepNext w:val="0"/>
        <w:keepLines w:val="0"/>
        <w:pageBreakBefore w:val="0"/>
        <w:widowControl/>
        <w:kinsoku w:val="0"/>
        <w:wordWrap/>
        <w:overflowPunct/>
        <w:topLinePunct w:val="0"/>
        <w:autoSpaceDE w:val="0"/>
        <w:autoSpaceDN w:val="0"/>
        <w:bidi w:val="0"/>
        <w:adjustRightInd w:val="0"/>
        <w:snapToGrid w:val="0"/>
        <w:spacing w:before="286" w:line="360" w:lineRule="auto"/>
        <w:ind w:left="23" w:firstLine="652"/>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pacing w:val="-33"/>
          <w:sz w:val="32"/>
          <w:szCs w:val="32"/>
        </w:rPr>
        <w:t xml:space="preserve"> </w:t>
      </w:r>
      <w:r>
        <w:rPr>
          <w:rFonts w:hint="eastAsia" w:ascii="仿宋_GB2312" w:hAnsi="仿宋_GB2312" w:eastAsia="仿宋_GB2312" w:cs="仿宋_GB2312"/>
          <w:sz w:val="32"/>
          <w:szCs w:val="32"/>
        </w:rPr>
        <w:t>2023</w:t>
      </w:r>
      <w:r>
        <w:rPr>
          <w:rFonts w:hint="eastAsia" w:ascii="仿宋_GB2312" w:hAnsi="仿宋_GB2312" w:eastAsia="仿宋_GB2312" w:cs="仿宋_GB2312"/>
          <w:spacing w:val="-33"/>
          <w:sz w:val="32"/>
          <w:szCs w:val="32"/>
        </w:rPr>
        <w:t xml:space="preserve"> </w:t>
      </w:r>
      <w:r>
        <w:rPr>
          <w:rFonts w:hint="eastAsia" w:ascii="仿宋_GB2312" w:hAnsi="仿宋_GB2312" w:eastAsia="仿宋_GB2312" w:cs="仿宋_GB2312"/>
          <w:sz w:val="32"/>
          <w:szCs w:val="32"/>
        </w:rPr>
        <w:t>年 12 月</w:t>
      </w:r>
      <w:r>
        <w:rPr>
          <w:rFonts w:hint="eastAsia" w:ascii="仿宋_GB2312" w:hAnsi="仿宋_GB2312" w:eastAsia="仿宋_GB2312" w:cs="仿宋_GB2312"/>
          <w:spacing w:val="-31"/>
          <w:sz w:val="32"/>
          <w:szCs w:val="32"/>
        </w:rPr>
        <w:t xml:space="preserve"> </w:t>
      </w:r>
      <w:r>
        <w:rPr>
          <w:rFonts w:hint="eastAsia" w:ascii="仿宋_GB2312" w:hAnsi="仿宋_GB2312" w:eastAsia="仿宋_GB2312" w:cs="仿宋_GB2312"/>
          <w:sz w:val="32"/>
          <w:szCs w:val="32"/>
        </w:rPr>
        <w:t>31 日，</w:t>
      </w:r>
      <w:r>
        <w:rPr>
          <w:rFonts w:hint="eastAsia" w:ascii="仿宋_GB2312" w:hAnsi="仿宋_GB2312" w:eastAsia="仿宋_GB2312" w:cs="仿宋_GB2312"/>
          <w:sz w:val="32"/>
          <w:szCs w:val="32"/>
          <w:lang w:val="en-US" w:eastAsia="zh-CN"/>
        </w:rPr>
        <w:t>长春高新技术产业开发区社区卫生服务中心</w:t>
      </w:r>
      <w:r>
        <w:rPr>
          <w:rFonts w:hint="eastAsia" w:ascii="仿宋_GB2312" w:hAnsi="仿宋_GB2312" w:eastAsia="仿宋_GB2312" w:cs="仿宋_GB2312"/>
          <w:spacing w:val="-1"/>
          <w:sz w:val="32"/>
          <w:szCs w:val="32"/>
        </w:rPr>
        <w:t>共有</w:t>
      </w:r>
      <w:r>
        <w:rPr>
          <w:rFonts w:hint="eastAsia" w:ascii="仿宋_GB2312" w:hAnsi="仿宋_GB2312" w:eastAsia="仿宋_GB2312" w:cs="仿宋_GB2312"/>
          <w:spacing w:val="7"/>
          <w:sz w:val="32"/>
          <w:szCs w:val="32"/>
        </w:rPr>
        <w:t>车辆</w:t>
      </w:r>
      <w:r>
        <w:rPr>
          <w:rFonts w:hint="eastAsia" w:ascii="仿宋_GB2312" w:hAnsi="仿宋_GB2312" w:eastAsia="仿宋_GB2312" w:cs="仿宋_GB2312"/>
          <w:spacing w:val="7"/>
          <w:sz w:val="32"/>
          <w:szCs w:val="32"/>
          <w:lang w:val="en-US" w:eastAsia="zh-CN"/>
        </w:rPr>
        <w:t>3</w:t>
      </w:r>
      <w:r>
        <w:rPr>
          <w:rFonts w:hint="eastAsia" w:ascii="仿宋_GB2312" w:hAnsi="仿宋_GB2312" w:eastAsia="仿宋_GB2312" w:cs="仿宋_GB2312"/>
          <w:spacing w:val="7"/>
          <w:sz w:val="32"/>
          <w:szCs w:val="32"/>
        </w:rPr>
        <w:t>辆，其中，</w:t>
      </w:r>
      <w:r>
        <w:rPr>
          <w:rFonts w:hint="eastAsia" w:ascii="仿宋_GB2312" w:hAnsi="仿宋_GB2312" w:eastAsia="仿宋_GB2312" w:cs="仿宋_GB2312"/>
          <w:spacing w:val="8"/>
          <w:sz w:val="32"/>
          <w:szCs w:val="32"/>
        </w:rPr>
        <w:t>应急保障用车</w:t>
      </w:r>
      <w:r>
        <w:rPr>
          <w:rFonts w:hint="eastAsia" w:ascii="仿宋_GB2312" w:hAnsi="仿宋_GB2312" w:eastAsia="仿宋_GB2312" w:cs="仿宋_GB2312"/>
          <w:spacing w:val="-64"/>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辆、</w:t>
      </w:r>
      <w:r>
        <w:rPr>
          <w:rFonts w:hint="eastAsia" w:ascii="仿宋_GB2312" w:hAnsi="仿宋_GB2312" w:eastAsia="仿宋_GB2312" w:cs="仿宋_GB2312"/>
          <w:spacing w:val="8"/>
          <w:sz w:val="32"/>
          <w:szCs w:val="32"/>
        </w:rPr>
        <w:t>其他用车</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pacing w:val="8"/>
          <w:sz w:val="32"/>
          <w:szCs w:val="32"/>
        </w:rPr>
        <w:t>辆，其他用车主要是</w:t>
      </w:r>
      <w:r>
        <w:rPr>
          <w:rFonts w:hint="eastAsia" w:ascii="仿宋_GB2312" w:hAnsi="仿宋_GB2312" w:eastAsia="仿宋_GB2312" w:cs="仿宋_GB2312"/>
          <w:spacing w:val="8"/>
          <w:sz w:val="32"/>
          <w:szCs w:val="32"/>
          <w:lang w:val="en-US" w:eastAsia="zh-CN"/>
        </w:rPr>
        <w:t>日常工作外出需要用车</w:t>
      </w:r>
      <w:r>
        <w:rPr>
          <w:rFonts w:hint="eastAsia" w:ascii="仿宋_GB2312" w:hAnsi="仿宋_GB2312" w:eastAsia="仿宋_GB2312" w:cs="仿宋_GB2312"/>
          <w:spacing w:val="8"/>
          <w:sz w:val="32"/>
          <w:szCs w:val="32"/>
        </w:rPr>
        <w:t>；单</w:t>
      </w:r>
      <w:r>
        <w:rPr>
          <w:rFonts w:hint="eastAsia" w:ascii="仿宋_GB2312" w:hAnsi="仿宋_GB2312" w:eastAsia="仿宋_GB2312" w:cs="仿宋_GB2312"/>
          <w:spacing w:val="2"/>
          <w:sz w:val="32"/>
          <w:szCs w:val="32"/>
        </w:rPr>
        <w:t>位价值</w:t>
      </w:r>
      <w:r>
        <w:rPr>
          <w:rFonts w:hint="eastAsia" w:ascii="仿宋_GB2312" w:hAnsi="仿宋_GB2312" w:eastAsia="仿宋_GB2312" w:cs="仿宋_GB2312"/>
          <w:spacing w:val="-25"/>
          <w:sz w:val="32"/>
          <w:szCs w:val="32"/>
        </w:rPr>
        <w:t xml:space="preserve"> </w:t>
      </w:r>
      <w:r>
        <w:rPr>
          <w:rFonts w:hint="eastAsia" w:ascii="仿宋_GB2312" w:hAnsi="仿宋_GB2312" w:eastAsia="仿宋_GB2312" w:cs="仿宋_GB2312"/>
          <w:spacing w:val="2"/>
          <w:sz w:val="32"/>
          <w:szCs w:val="32"/>
        </w:rPr>
        <w:t>100</w:t>
      </w:r>
      <w:r>
        <w:rPr>
          <w:rFonts w:hint="eastAsia" w:ascii="仿宋_GB2312" w:hAnsi="仿宋_GB2312" w:eastAsia="仿宋_GB2312" w:cs="仿宋_GB2312"/>
          <w:spacing w:val="-47"/>
          <w:sz w:val="32"/>
          <w:szCs w:val="32"/>
        </w:rPr>
        <w:t xml:space="preserve"> </w:t>
      </w:r>
      <w:r>
        <w:rPr>
          <w:rFonts w:hint="eastAsia" w:ascii="仿宋_GB2312" w:hAnsi="仿宋_GB2312" w:eastAsia="仿宋_GB2312" w:cs="仿宋_GB2312"/>
          <w:spacing w:val="2"/>
          <w:sz w:val="32"/>
          <w:szCs w:val="32"/>
        </w:rPr>
        <w:t>万元（含）以上设备（不含车辆）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pacing w:val="2"/>
          <w:sz w:val="32"/>
          <w:szCs w:val="32"/>
        </w:rPr>
        <w:t>台（套）。</w:t>
      </w:r>
    </w:p>
    <w:p w14:paraId="28268AB7">
      <w:pPr>
        <w:pageBreakBefore w:val="0"/>
        <w:widowControl/>
        <w:kinsoku w:val="0"/>
        <w:wordWrap/>
        <w:overflowPunct/>
        <w:topLinePunct w:val="0"/>
        <w:autoSpaceDE w:val="0"/>
        <w:autoSpaceDN w:val="0"/>
        <w:bidi w:val="0"/>
        <w:adjustRightInd w:val="0"/>
        <w:snapToGrid w:val="0"/>
        <w:spacing w:before="286" w:line="360" w:lineRule="auto"/>
        <w:ind w:left="21" w:firstLine="1774" w:firstLineChars="409"/>
        <w:textAlignment w:val="baseline"/>
        <w:rPr>
          <w:rFonts w:hint="eastAsia" w:asciiTheme="majorEastAsia" w:hAnsiTheme="majorEastAsia" w:eastAsiaTheme="majorEastAsia" w:cstheme="majorEastAsia"/>
          <w:b/>
          <w:bCs/>
          <w:spacing w:val="-4"/>
          <w:position w:val="-2"/>
          <w:sz w:val="44"/>
          <w:szCs w:val="44"/>
        </w:rPr>
      </w:pPr>
    </w:p>
    <w:p w14:paraId="1BEFE8DA">
      <w:pPr>
        <w:pageBreakBefore w:val="0"/>
        <w:widowControl/>
        <w:kinsoku w:val="0"/>
        <w:wordWrap/>
        <w:overflowPunct/>
        <w:topLinePunct w:val="0"/>
        <w:autoSpaceDE w:val="0"/>
        <w:autoSpaceDN w:val="0"/>
        <w:bidi w:val="0"/>
        <w:adjustRightInd w:val="0"/>
        <w:snapToGrid w:val="0"/>
        <w:spacing w:before="286" w:line="360" w:lineRule="auto"/>
        <w:ind w:left="21" w:firstLine="1774" w:firstLineChars="409"/>
        <w:textAlignment w:val="baseline"/>
        <w:rPr>
          <w:rFonts w:hint="eastAsia" w:asciiTheme="majorEastAsia" w:hAnsiTheme="majorEastAsia" w:eastAsiaTheme="majorEastAsia" w:cstheme="majorEastAsia"/>
          <w:b/>
          <w:bCs/>
          <w:spacing w:val="-4"/>
          <w:position w:val="-2"/>
          <w:sz w:val="44"/>
          <w:szCs w:val="44"/>
        </w:rPr>
      </w:pPr>
    </w:p>
    <w:p w14:paraId="540D9779">
      <w:pPr>
        <w:pageBreakBefore w:val="0"/>
        <w:widowControl/>
        <w:kinsoku w:val="0"/>
        <w:wordWrap/>
        <w:overflowPunct/>
        <w:topLinePunct w:val="0"/>
        <w:autoSpaceDE w:val="0"/>
        <w:autoSpaceDN w:val="0"/>
        <w:bidi w:val="0"/>
        <w:adjustRightInd w:val="0"/>
        <w:snapToGrid w:val="0"/>
        <w:spacing w:before="286" w:line="360" w:lineRule="auto"/>
        <w:ind w:left="21" w:firstLine="1774" w:firstLineChars="409"/>
        <w:textAlignment w:val="baseline"/>
        <w:rPr>
          <w:rFonts w:hint="eastAsia" w:asciiTheme="majorEastAsia" w:hAnsiTheme="majorEastAsia" w:eastAsiaTheme="majorEastAsia" w:cstheme="majorEastAsia"/>
          <w:b/>
          <w:bCs/>
          <w:spacing w:val="-4"/>
          <w:position w:val="-2"/>
          <w:sz w:val="44"/>
          <w:szCs w:val="44"/>
        </w:rPr>
      </w:pPr>
    </w:p>
    <w:p w14:paraId="0A297688">
      <w:pPr>
        <w:pageBreakBefore w:val="0"/>
        <w:widowControl/>
        <w:kinsoku w:val="0"/>
        <w:wordWrap/>
        <w:overflowPunct/>
        <w:topLinePunct w:val="0"/>
        <w:autoSpaceDE w:val="0"/>
        <w:autoSpaceDN w:val="0"/>
        <w:bidi w:val="0"/>
        <w:adjustRightInd w:val="0"/>
        <w:snapToGrid w:val="0"/>
        <w:spacing w:before="286" w:line="360" w:lineRule="auto"/>
        <w:textAlignment w:val="baseline"/>
        <w:rPr>
          <w:rFonts w:hint="eastAsia" w:asciiTheme="majorEastAsia" w:hAnsiTheme="majorEastAsia" w:eastAsiaTheme="majorEastAsia" w:cstheme="majorEastAsia"/>
          <w:b/>
          <w:bCs/>
          <w:spacing w:val="-4"/>
          <w:position w:val="-2"/>
          <w:sz w:val="44"/>
          <w:szCs w:val="44"/>
        </w:rPr>
      </w:pPr>
    </w:p>
    <w:p w14:paraId="297476EE">
      <w:pPr>
        <w:keepNext w:val="0"/>
        <w:keepLines w:val="0"/>
        <w:pageBreakBefore w:val="0"/>
        <w:widowControl/>
        <w:kinsoku w:val="0"/>
        <w:wordWrap/>
        <w:overflowPunct/>
        <w:topLinePunct w:val="0"/>
        <w:autoSpaceDE w:val="0"/>
        <w:autoSpaceDN w:val="0"/>
        <w:bidi w:val="0"/>
        <w:adjustRightInd w:val="0"/>
        <w:snapToGrid w:val="0"/>
        <w:spacing w:before="286" w:line="360" w:lineRule="auto"/>
        <w:ind w:left="21" w:firstLine="1774" w:firstLineChars="409"/>
        <w:textAlignment w:val="baseline"/>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pacing w:val="-4"/>
          <w:position w:val="-2"/>
          <w:sz w:val="44"/>
          <w:szCs w:val="44"/>
        </w:rPr>
        <w:t>第四部分</w:t>
      </w:r>
      <w:r>
        <w:rPr>
          <w:rFonts w:hint="eastAsia" w:asciiTheme="majorEastAsia" w:hAnsiTheme="majorEastAsia" w:eastAsiaTheme="majorEastAsia" w:cstheme="majorEastAsia"/>
          <w:b/>
          <w:bCs/>
          <w:spacing w:val="24"/>
          <w:position w:val="-2"/>
          <w:sz w:val="44"/>
          <w:szCs w:val="44"/>
        </w:rPr>
        <w:t xml:space="preserve">   </w:t>
      </w:r>
      <w:r>
        <w:rPr>
          <w:rFonts w:hint="eastAsia" w:asciiTheme="majorEastAsia" w:hAnsiTheme="majorEastAsia" w:eastAsiaTheme="majorEastAsia" w:cstheme="majorEastAsia"/>
          <w:b/>
          <w:bCs/>
          <w:spacing w:val="-4"/>
          <w:position w:val="-2"/>
          <w:sz w:val="44"/>
          <w:szCs w:val="44"/>
        </w:rPr>
        <w:t>名词解释</w:t>
      </w:r>
    </w:p>
    <w:p w14:paraId="1B8A5253">
      <w:pPr>
        <w:keepNext w:val="0"/>
        <w:keepLines w:val="0"/>
        <w:pageBreakBefore w:val="0"/>
        <w:widowControl/>
        <w:kinsoku w:val="0"/>
        <w:wordWrap/>
        <w:overflowPunct/>
        <w:topLinePunct w:val="0"/>
        <w:autoSpaceDE w:val="0"/>
        <w:autoSpaceDN w:val="0"/>
        <w:bidi w:val="0"/>
        <w:adjustRightInd w:val="0"/>
        <w:snapToGrid w:val="0"/>
        <w:spacing w:before="100" w:line="360" w:lineRule="auto"/>
        <w:ind w:right="13" w:firstLine="667"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一、财政拨款收入：</w:t>
      </w:r>
      <w:r>
        <w:rPr>
          <w:rFonts w:hint="eastAsia" w:ascii="仿宋_GB2312" w:hAnsi="仿宋_GB2312" w:eastAsia="仿宋_GB2312" w:cs="仿宋_GB2312"/>
          <w:spacing w:val="6"/>
          <w:sz w:val="32"/>
          <w:szCs w:val="32"/>
        </w:rPr>
        <w:t>指单位从同级财政部门取得的财政</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2"/>
          <w:sz w:val="32"/>
          <w:szCs w:val="32"/>
        </w:rPr>
        <w:t>预算资金。</w:t>
      </w:r>
    </w:p>
    <w:p w14:paraId="55F072EE">
      <w:pPr>
        <w:keepNext w:val="0"/>
        <w:keepLines w:val="0"/>
        <w:pageBreakBefore w:val="0"/>
        <w:widowControl/>
        <w:kinsoku w:val="0"/>
        <w:wordWrap/>
        <w:overflowPunct/>
        <w:topLinePunct w:val="0"/>
        <w:autoSpaceDE w:val="0"/>
        <w:autoSpaceDN w:val="0"/>
        <w:bidi w:val="0"/>
        <w:adjustRightInd w:val="0"/>
        <w:snapToGrid w:val="0"/>
        <w:spacing w:before="250" w:line="360" w:lineRule="auto"/>
        <w:ind w:left="30" w:right="13" w:firstLine="65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二、上级补助收入：</w:t>
      </w:r>
      <w:r>
        <w:rPr>
          <w:rFonts w:hint="eastAsia" w:ascii="仿宋_GB2312" w:hAnsi="仿宋_GB2312" w:eastAsia="仿宋_GB2312" w:cs="仿宋_GB2312"/>
          <w:spacing w:val="6"/>
          <w:sz w:val="32"/>
          <w:szCs w:val="32"/>
        </w:rPr>
        <w:t>指从主管部门和上级单位取得的非</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
          <w:sz w:val="32"/>
          <w:szCs w:val="32"/>
        </w:rPr>
        <w:t>财政补助收入。</w:t>
      </w:r>
    </w:p>
    <w:p w14:paraId="7C4AC210">
      <w:pPr>
        <w:keepNext w:val="0"/>
        <w:keepLines w:val="0"/>
        <w:pageBreakBefore w:val="0"/>
        <w:widowControl/>
        <w:kinsoku w:val="0"/>
        <w:wordWrap/>
        <w:overflowPunct/>
        <w:topLinePunct w:val="0"/>
        <w:autoSpaceDE w:val="0"/>
        <w:autoSpaceDN w:val="0"/>
        <w:bidi w:val="0"/>
        <w:adjustRightInd w:val="0"/>
        <w:snapToGrid w:val="0"/>
        <w:spacing w:before="249" w:line="360" w:lineRule="auto"/>
        <w:ind w:left="44" w:right="18" w:firstLine="649"/>
        <w:textAlignment w:val="baseline"/>
        <w:outlineLvl w:val="3"/>
        <w:rPr>
          <w:rFonts w:hint="eastAsia" w:ascii="仿宋_GB2312" w:hAnsi="仿宋_GB2312" w:eastAsia="仿宋_GB2312" w:cs="仿宋_GB2312"/>
          <w:sz w:val="32"/>
          <w:szCs w:val="32"/>
        </w:rPr>
      </w:pPr>
      <w:r>
        <w:rPr>
          <w:rFonts w:hint="eastAsia" w:ascii="仿宋_GB2312" w:hAnsi="仿宋_GB2312" w:eastAsia="仿宋_GB2312" w:cs="仿宋_GB2312"/>
          <w:b/>
          <w:bCs/>
          <w:spacing w:val="4"/>
          <w:sz w:val="32"/>
          <w:szCs w:val="32"/>
        </w:rPr>
        <w:t>三、事业收入：指事业单位开展专业业务活动及辅助活</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b/>
          <w:bCs/>
          <w:spacing w:val="-6"/>
          <w:sz w:val="32"/>
          <w:szCs w:val="32"/>
        </w:rPr>
        <w:t>动取得的收入。</w:t>
      </w:r>
    </w:p>
    <w:p w14:paraId="6FA99FB9">
      <w:pPr>
        <w:keepNext w:val="0"/>
        <w:keepLines w:val="0"/>
        <w:pageBreakBefore w:val="0"/>
        <w:widowControl/>
        <w:kinsoku w:val="0"/>
        <w:wordWrap/>
        <w:overflowPunct/>
        <w:topLinePunct w:val="0"/>
        <w:autoSpaceDE w:val="0"/>
        <w:autoSpaceDN w:val="0"/>
        <w:bidi w:val="0"/>
        <w:adjustRightInd w:val="0"/>
        <w:snapToGrid w:val="0"/>
        <w:spacing w:before="249" w:line="360" w:lineRule="auto"/>
        <w:ind w:left="44" w:right="16" w:firstLine="66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四、经营收入：</w:t>
      </w:r>
      <w:r>
        <w:rPr>
          <w:rFonts w:hint="eastAsia" w:ascii="仿宋_GB2312" w:hAnsi="仿宋_GB2312" w:eastAsia="仿宋_GB2312" w:cs="仿宋_GB2312"/>
          <w:spacing w:val="6"/>
          <w:sz w:val="32"/>
          <w:szCs w:val="32"/>
        </w:rPr>
        <w:t>指事业单位在专业业务活动及其辅助活</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6"/>
          <w:sz w:val="32"/>
          <w:szCs w:val="32"/>
        </w:rPr>
        <w:t>动之外开展非独立核算经营活动取得的收入。</w:t>
      </w:r>
    </w:p>
    <w:p w14:paraId="29D75094">
      <w:pPr>
        <w:keepNext w:val="0"/>
        <w:keepLines w:val="0"/>
        <w:pageBreakBefore w:val="0"/>
        <w:widowControl/>
        <w:kinsoku w:val="0"/>
        <w:wordWrap/>
        <w:overflowPunct/>
        <w:topLinePunct w:val="0"/>
        <w:autoSpaceDE w:val="0"/>
        <w:autoSpaceDN w:val="0"/>
        <w:bidi w:val="0"/>
        <w:adjustRightInd w:val="0"/>
        <w:snapToGrid w:val="0"/>
        <w:spacing w:before="249" w:line="360" w:lineRule="auto"/>
        <w:ind w:left="28" w:right="13" w:firstLine="65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五、附属单位上缴收入：</w:t>
      </w:r>
      <w:r>
        <w:rPr>
          <w:rFonts w:hint="eastAsia" w:ascii="仿宋_GB2312" w:hAnsi="仿宋_GB2312" w:eastAsia="仿宋_GB2312" w:cs="仿宋_GB2312"/>
          <w:spacing w:val="6"/>
          <w:sz w:val="32"/>
          <w:szCs w:val="32"/>
        </w:rPr>
        <w:t>指事业单位附属独立核算单位</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7"/>
          <w:sz w:val="32"/>
          <w:szCs w:val="32"/>
        </w:rPr>
        <w:t>按照有关规定上缴的收入。</w:t>
      </w:r>
    </w:p>
    <w:p w14:paraId="3C955DF4">
      <w:pPr>
        <w:keepNext w:val="0"/>
        <w:keepLines w:val="0"/>
        <w:pageBreakBefore w:val="0"/>
        <w:widowControl/>
        <w:kinsoku w:val="0"/>
        <w:wordWrap/>
        <w:overflowPunct/>
        <w:topLinePunct w:val="0"/>
        <w:autoSpaceDE w:val="0"/>
        <w:autoSpaceDN w:val="0"/>
        <w:bidi w:val="0"/>
        <w:adjustRightInd w:val="0"/>
        <w:snapToGrid w:val="0"/>
        <w:spacing w:before="246" w:line="360" w:lineRule="auto"/>
        <w:ind w:left="28" w:right="11" w:firstLine="652"/>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六、其他收入：</w:t>
      </w:r>
      <w:r>
        <w:rPr>
          <w:rFonts w:hint="eastAsia" w:ascii="仿宋_GB2312" w:hAnsi="仿宋_GB2312" w:eastAsia="仿宋_GB2312" w:cs="仿宋_GB2312"/>
          <w:spacing w:val="7"/>
          <w:sz w:val="32"/>
          <w:szCs w:val="32"/>
        </w:rPr>
        <w:t>指除上述收入以外的各项收入。包括未</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9"/>
          <w:sz w:val="32"/>
          <w:szCs w:val="32"/>
        </w:rPr>
        <w:t>纳入财政预算或财政专户管理的投资收益、银</w:t>
      </w:r>
      <w:r>
        <w:rPr>
          <w:rFonts w:hint="eastAsia" w:ascii="仿宋_GB2312" w:hAnsi="仿宋_GB2312" w:eastAsia="仿宋_GB2312" w:cs="仿宋_GB2312"/>
          <w:spacing w:val="8"/>
          <w:sz w:val="32"/>
          <w:szCs w:val="32"/>
        </w:rPr>
        <w:t>行存款利息收</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入、租金收入、捐赠收入，现金盘盈收入、存货</w:t>
      </w:r>
      <w:r>
        <w:rPr>
          <w:rFonts w:hint="eastAsia" w:ascii="仿宋_GB2312" w:hAnsi="仿宋_GB2312" w:eastAsia="仿宋_GB2312" w:cs="仿宋_GB2312"/>
          <w:spacing w:val="8"/>
          <w:sz w:val="32"/>
          <w:szCs w:val="32"/>
        </w:rPr>
        <w:t>盘盈收入、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收回已核销应收及预付款项、无法偿付的应付及</w:t>
      </w:r>
      <w:r>
        <w:rPr>
          <w:rFonts w:hint="eastAsia" w:ascii="仿宋_GB2312" w:hAnsi="仿宋_GB2312" w:eastAsia="仿宋_GB2312" w:cs="仿宋_GB2312"/>
          <w:spacing w:val="8"/>
          <w:sz w:val="32"/>
          <w:szCs w:val="32"/>
        </w:rPr>
        <w:t>预收款项，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从省财政以外的同级单位取得的经费、从非省</w:t>
      </w:r>
      <w:r>
        <w:rPr>
          <w:rFonts w:hint="eastAsia" w:ascii="仿宋_GB2312" w:hAnsi="仿宋_GB2312" w:eastAsia="仿宋_GB2312" w:cs="仿宋_GB2312"/>
          <w:spacing w:val="8"/>
          <w:sz w:val="32"/>
          <w:szCs w:val="32"/>
        </w:rPr>
        <w:t>财政取得的经</w:t>
      </w:r>
      <w:r>
        <w:rPr>
          <w:rFonts w:hint="eastAsia" w:ascii="仿宋_GB2312" w:hAnsi="仿宋_GB2312" w:eastAsia="仿宋_GB2312" w:cs="仿宋_GB2312"/>
          <w:spacing w:val="6"/>
          <w:sz w:val="32"/>
          <w:szCs w:val="32"/>
        </w:rPr>
        <w:t>费，以及行政单位收到的财政专户管理资金等。</w:t>
      </w:r>
    </w:p>
    <w:p w14:paraId="3D8A340B">
      <w:pPr>
        <w:keepNext w:val="0"/>
        <w:keepLines w:val="0"/>
        <w:pageBreakBefore w:val="0"/>
        <w:widowControl/>
        <w:kinsoku w:val="0"/>
        <w:wordWrap/>
        <w:overflowPunct/>
        <w:topLinePunct w:val="0"/>
        <w:autoSpaceDE w:val="0"/>
        <w:autoSpaceDN w:val="0"/>
        <w:bidi w:val="0"/>
        <w:adjustRightInd w:val="0"/>
        <w:snapToGrid w:val="0"/>
        <w:spacing w:before="252" w:line="360" w:lineRule="auto"/>
        <w:ind w:left="28" w:right="10" w:firstLine="64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5"/>
          <w:sz w:val="32"/>
          <w:szCs w:val="32"/>
        </w:rPr>
        <w:t>七、使用非财政拨款结余（含专用结余</w:t>
      </w:r>
      <w:r>
        <w:rPr>
          <w:rFonts w:hint="eastAsia" w:ascii="仿宋_GB2312" w:hAnsi="仿宋_GB2312" w:eastAsia="仿宋_GB2312" w:cs="仿宋_GB2312"/>
          <w:b/>
          <w:bCs/>
          <w:spacing w:val="16"/>
          <w:sz w:val="32"/>
          <w:szCs w:val="32"/>
        </w:rPr>
        <w:t>）：</w:t>
      </w:r>
      <w:r>
        <w:rPr>
          <w:rFonts w:hint="eastAsia" w:ascii="仿宋_GB2312" w:hAnsi="仿宋_GB2312" w:eastAsia="仿宋_GB2312" w:cs="仿宋_GB2312"/>
          <w:spacing w:val="5"/>
          <w:sz w:val="32"/>
          <w:szCs w:val="32"/>
        </w:rPr>
        <w:t>指事业单位</w:t>
      </w:r>
      <w:r>
        <w:rPr>
          <w:rFonts w:hint="eastAsia" w:ascii="仿宋_GB2312" w:hAnsi="仿宋_GB2312" w:eastAsia="仿宋_GB2312" w:cs="仿宋_GB2312"/>
          <w:spacing w:val="21"/>
          <w:sz w:val="32"/>
          <w:szCs w:val="32"/>
        </w:rPr>
        <w:t>按照预算管理要求使用非财政拨款结余弥补收支差额的金</w:t>
      </w:r>
      <w:r>
        <w:rPr>
          <w:rFonts w:hint="eastAsia" w:ascii="仿宋_GB2312" w:hAnsi="仿宋_GB2312" w:eastAsia="仿宋_GB2312" w:cs="仿宋_GB2312"/>
          <w:spacing w:val="5"/>
          <w:sz w:val="32"/>
          <w:szCs w:val="32"/>
        </w:rPr>
        <w:t>额，以及使用专用结余安排支出的金额。</w:t>
      </w:r>
    </w:p>
    <w:p w14:paraId="7818942C">
      <w:pPr>
        <w:keepNext w:val="0"/>
        <w:keepLines w:val="0"/>
        <w:pageBreakBefore w:val="0"/>
        <w:widowControl/>
        <w:kinsoku w:val="0"/>
        <w:wordWrap/>
        <w:overflowPunct/>
        <w:topLinePunct w:val="0"/>
        <w:autoSpaceDE w:val="0"/>
        <w:autoSpaceDN w:val="0"/>
        <w:bidi w:val="0"/>
        <w:adjustRightInd w:val="0"/>
        <w:snapToGrid w:val="0"/>
        <w:spacing w:before="252" w:line="360" w:lineRule="auto"/>
        <w:ind w:left="28" w:right="10" w:firstLine="649"/>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7"/>
          <w:sz w:val="32"/>
          <w:szCs w:val="32"/>
        </w:rPr>
        <w:t>八、年初结转和结余：</w:t>
      </w:r>
      <w:r>
        <w:rPr>
          <w:rFonts w:hint="eastAsia" w:ascii="仿宋_GB2312" w:hAnsi="仿宋_GB2312" w:eastAsia="仿宋_GB2312" w:cs="仿宋_GB2312"/>
          <w:spacing w:val="5"/>
          <w:sz w:val="32"/>
          <w:szCs w:val="32"/>
        </w:rPr>
        <w:t>指单位以前年度尚未完成、结转到本年按有关规定用途继续使用的资金，或项目已完成等产生的结余资金。</w:t>
      </w:r>
    </w:p>
    <w:p w14:paraId="2A32212C">
      <w:pPr>
        <w:keepNext w:val="0"/>
        <w:keepLines w:val="0"/>
        <w:pageBreakBefore w:val="0"/>
        <w:widowControl/>
        <w:kinsoku w:val="0"/>
        <w:wordWrap/>
        <w:overflowPunct/>
        <w:topLinePunct w:val="0"/>
        <w:autoSpaceDE w:val="0"/>
        <w:autoSpaceDN w:val="0"/>
        <w:bidi w:val="0"/>
        <w:adjustRightInd w:val="0"/>
        <w:snapToGrid w:val="0"/>
        <w:spacing w:before="48" w:line="360" w:lineRule="auto"/>
        <w:ind w:left="32" w:right="155" w:firstLine="641"/>
        <w:textAlignment w:val="baseline"/>
        <w:rPr>
          <w:rFonts w:hint="eastAsia" w:ascii="仿宋_GB2312" w:hAnsi="仿宋_GB2312" w:eastAsia="仿宋_GB2312" w:cs="仿宋_GB2312"/>
          <w:spacing w:val="6"/>
          <w:sz w:val="32"/>
          <w:szCs w:val="32"/>
        </w:rPr>
      </w:pPr>
      <w:r>
        <w:rPr>
          <w:rFonts w:hint="eastAsia" w:ascii="仿宋_GB2312" w:hAnsi="仿宋_GB2312" w:eastAsia="仿宋_GB2312" w:cs="仿宋_GB2312"/>
          <w:b/>
          <w:bCs/>
          <w:spacing w:val="7"/>
          <w:sz w:val="32"/>
          <w:szCs w:val="32"/>
        </w:rPr>
        <w:t>九、结余分配：</w:t>
      </w:r>
      <w:r>
        <w:rPr>
          <w:rFonts w:hint="eastAsia" w:ascii="仿宋_GB2312" w:hAnsi="仿宋_GB2312" w:eastAsia="仿宋_GB2312" w:cs="仿宋_GB2312"/>
          <w:spacing w:val="7"/>
          <w:sz w:val="32"/>
          <w:szCs w:val="32"/>
        </w:rPr>
        <w:t>指事业单位按照会计制度规定缴纳的所</w:t>
      </w:r>
      <w:r>
        <w:rPr>
          <w:rFonts w:hint="eastAsia" w:ascii="仿宋_GB2312" w:hAnsi="仿宋_GB2312" w:eastAsia="仿宋_GB2312" w:cs="仿宋_GB2312"/>
          <w:spacing w:val="6"/>
          <w:sz w:val="32"/>
          <w:szCs w:val="32"/>
        </w:rPr>
        <w:t>得税、提取的专用结余以及转入非财政拨款结余的金额等。</w:t>
      </w:r>
    </w:p>
    <w:p w14:paraId="0AE41382">
      <w:pPr>
        <w:keepNext w:val="0"/>
        <w:keepLines w:val="0"/>
        <w:pageBreakBefore w:val="0"/>
        <w:widowControl/>
        <w:kinsoku w:val="0"/>
        <w:wordWrap/>
        <w:overflowPunct/>
        <w:topLinePunct w:val="0"/>
        <w:autoSpaceDE w:val="0"/>
        <w:autoSpaceDN w:val="0"/>
        <w:bidi w:val="0"/>
        <w:adjustRightInd w:val="0"/>
        <w:snapToGrid w:val="0"/>
        <w:spacing w:before="48" w:line="360" w:lineRule="auto"/>
        <w:ind w:left="32" w:right="155" w:firstLine="641"/>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十、年末结转和结余：</w:t>
      </w:r>
      <w:r>
        <w:rPr>
          <w:rFonts w:hint="eastAsia" w:ascii="仿宋_GB2312" w:hAnsi="仿宋_GB2312" w:eastAsia="仿宋_GB2312" w:cs="仿宋_GB2312"/>
          <w:spacing w:val="7"/>
          <w:sz w:val="32"/>
          <w:szCs w:val="32"/>
        </w:rPr>
        <w:t>指单位按有关规定结</w:t>
      </w:r>
      <w:r>
        <w:rPr>
          <w:rFonts w:hint="eastAsia" w:ascii="仿宋_GB2312" w:hAnsi="仿宋_GB2312" w:eastAsia="仿宋_GB2312" w:cs="仿宋_GB2312"/>
          <w:spacing w:val="6"/>
          <w:sz w:val="32"/>
          <w:szCs w:val="32"/>
        </w:rPr>
        <w:t>转到下年或</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21"/>
          <w:sz w:val="32"/>
          <w:szCs w:val="32"/>
        </w:rPr>
        <w:t>以后年度继续使用的资金，或项目已完成等产生的结余资</w:t>
      </w:r>
      <w:r>
        <w:rPr>
          <w:rFonts w:hint="eastAsia" w:ascii="仿宋_GB2312" w:hAnsi="仿宋_GB2312" w:eastAsia="仿宋_GB2312" w:cs="仿宋_GB2312"/>
          <w:spacing w:val="-16"/>
          <w:sz w:val="32"/>
          <w:szCs w:val="32"/>
        </w:rPr>
        <w:t>金。</w:t>
      </w:r>
    </w:p>
    <w:p w14:paraId="4B028B60">
      <w:pPr>
        <w:keepNext w:val="0"/>
        <w:keepLines w:val="0"/>
        <w:pageBreakBefore w:val="0"/>
        <w:widowControl/>
        <w:kinsoku w:val="0"/>
        <w:wordWrap/>
        <w:overflowPunct/>
        <w:topLinePunct w:val="0"/>
        <w:autoSpaceDE w:val="0"/>
        <w:autoSpaceDN w:val="0"/>
        <w:bidi w:val="0"/>
        <w:adjustRightInd w:val="0"/>
        <w:snapToGrid w:val="0"/>
        <w:spacing w:before="39" w:line="360" w:lineRule="auto"/>
        <w:ind w:right="153" w:firstLine="671"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十一、基本支出：</w:t>
      </w:r>
      <w:r>
        <w:rPr>
          <w:rFonts w:hint="eastAsia" w:ascii="仿宋_GB2312" w:hAnsi="仿宋_GB2312" w:eastAsia="仿宋_GB2312" w:cs="仿宋_GB2312"/>
          <w:spacing w:val="7"/>
          <w:sz w:val="32"/>
          <w:szCs w:val="32"/>
        </w:rPr>
        <w:t>指为保障机构正常运转、完成日常工</w:t>
      </w:r>
      <w:r>
        <w:rPr>
          <w:rFonts w:hint="eastAsia" w:ascii="仿宋_GB2312" w:hAnsi="仿宋_GB2312" w:eastAsia="仿宋_GB2312" w:cs="仿宋_GB2312"/>
          <w:spacing w:val="6"/>
          <w:sz w:val="32"/>
          <w:szCs w:val="32"/>
        </w:rPr>
        <w:t>作任务而发生的人员支出和公用支出。</w:t>
      </w:r>
    </w:p>
    <w:p w14:paraId="607D54D5">
      <w:pPr>
        <w:keepNext w:val="0"/>
        <w:keepLines w:val="0"/>
        <w:pageBreakBefore w:val="0"/>
        <w:widowControl/>
        <w:kinsoku w:val="0"/>
        <w:wordWrap/>
        <w:overflowPunct/>
        <w:topLinePunct w:val="0"/>
        <w:autoSpaceDE w:val="0"/>
        <w:autoSpaceDN w:val="0"/>
        <w:bidi w:val="0"/>
        <w:adjustRightInd w:val="0"/>
        <w:snapToGrid w:val="0"/>
        <w:spacing w:before="250" w:line="360" w:lineRule="auto"/>
        <w:ind w:left="33" w:right="154" w:firstLine="65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十二、项目支出：</w:t>
      </w:r>
      <w:r>
        <w:rPr>
          <w:rFonts w:hint="eastAsia" w:ascii="仿宋_GB2312" w:hAnsi="仿宋_GB2312" w:eastAsia="仿宋_GB2312" w:cs="仿宋_GB2312"/>
          <w:spacing w:val="7"/>
          <w:sz w:val="32"/>
          <w:szCs w:val="32"/>
        </w:rPr>
        <w:t>指在基本支出之外为完成特定行政任</w:t>
      </w:r>
      <w:r>
        <w:rPr>
          <w:rFonts w:hint="eastAsia" w:ascii="仿宋_GB2312" w:hAnsi="仿宋_GB2312" w:eastAsia="仿宋_GB2312" w:cs="仿宋_GB2312"/>
          <w:spacing w:val="4"/>
          <w:sz w:val="32"/>
          <w:szCs w:val="32"/>
        </w:rPr>
        <w:t>务或事业发展目标所发生的支出。</w:t>
      </w:r>
    </w:p>
    <w:p w14:paraId="1B9B9BD2">
      <w:pPr>
        <w:keepNext w:val="0"/>
        <w:keepLines w:val="0"/>
        <w:pageBreakBefore w:val="0"/>
        <w:widowControl/>
        <w:kinsoku w:val="0"/>
        <w:wordWrap/>
        <w:overflowPunct/>
        <w:topLinePunct w:val="0"/>
        <w:autoSpaceDE w:val="0"/>
        <w:autoSpaceDN w:val="0"/>
        <w:bidi w:val="0"/>
        <w:adjustRightInd w:val="0"/>
        <w:snapToGrid w:val="0"/>
        <w:spacing w:before="249" w:line="360" w:lineRule="auto"/>
        <w:ind w:left="44" w:right="155" w:firstLine="639"/>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十三、经营支出：</w:t>
      </w:r>
      <w:r>
        <w:rPr>
          <w:rFonts w:hint="eastAsia" w:ascii="仿宋_GB2312" w:hAnsi="仿宋_GB2312" w:eastAsia="仿宋_GB2312" w:cs="仿宋_GB2312"/>
          <w:spacing w:val="7"/>
          <w:sz w:val="32"/>
          <w:szCs w:val="32"/>
        </w:rPr>
        <w:t>指事业单位在专业业务活动及其辅助</w:t>
      </w:r>
      <w:r>
        <w:rPr>
          <w:rFonts w:hint="eastAsia" w:ascii="仿宋_GB2312" w:hAnsi="仿宋_GB2312" w:eastAsia="仿宋_GB2312" w:cs="仿宋_GB2312"/>
          <w:spacing w:val="5"/>
          <w:sz w:val="32"/>
          <w:szCs w:val="32"/>
        </w:rPr>
        <w:t>活动之外开展非独立核算经营活动发生的支出。</w:t>
      </w:r>
    </w:p>
    <w:p w14:paraId="433A46E7">
      <w:pPr>
        <w:keepNext w:val="0"/>
        <w:keepLines w:val="0"/>
        <w:pageBreakBefore w:val="0"/>
        <w:widowControl/>
        <w:kinsoku w:val="0"/>
        <w:wordWrap/>
        <w:overflowPunct/>
        <w:topLinePunct w:val="0"/>
        <w:autoSpaceDE w:val="0"/>
        <w:autoSpaceDN w:val="0"/>
        <w:bidi w:val="0"/>
        <w:adjustRightInd w:val="0"/>
        <w:snapToGrid w:val="0"/>
        <w:spacing w:before="249" w:line="360" w:lineRule="auto"/>
        <w:ind w:left="40" w:right="153" w:firstLine="643"/>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十四、上缴上级支出：</w:t>
      </w:r>
      <w:r>
        <w:rPr>
          <w:rFonts w:hint="eastAsia" w:ascii="仿宋_GB2312" w:hAnsi="仿宋_GB2312" w:eastAsia="仿宋_GB2312" w:cs="仿宋_GB2312"/>
          <w:spacing w:val="7"/>
          <w:sz w:val="32"/>
          <w:szCs w:val="32"/>
        </w:rPr>
        <w:t>指事业单位按照有关</w:t>
      </w:r>
      <w:r>
        <w:rPr>
          <w:rFonts w:hint="eastAsia" w:ascii="仿宋_GB2312" w:hAnsi="仿宋_GB2312" w:eastAsia="仿宋_GB2312" w:cs="仿宋_GB2312"/>
          <w:spacing w:val="6"/>
          <w:sz w:val="32"/>
          <w:szCs w:val="32"/>
        </w:rPr>
        <w:t>规定上缴上</w:t>
      </w:r>
      <w:r>
        <w:rPr>
          <w:rFonts w:hint="eastAsia" w:ascii="仿宋_GB2312" w:hAnsi="仿宋_GB2312" w:eastAsia="仿宋_GB2312" w:cs="仿宋_GB2312"/>
          <w:spacing w:val="-2"/>
          <w:sz w:val="32"/>
          <w:szCs w:val="32"/>
        </w:rPr>
        <w:t>级单位的支出。</w:t>
      </w:r>
    </w:p>
    <w:p w14:paraId="60C20953">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32"/>
          <w:szCs w:val="32"/>
        </w:rPr>
        <w:sectPr>
          <w:footerReference r:id="rId10" w:type="default"/>
          <w:pgSz w:w="11907" w:h="16839"/>
          <w:pgMar w:top="1431" w:right="1785" w:bottom="1153" w:left="1785" w:header="0" w:footer="965" w:gutter="0"/>
          <w:cols w:space="720" w:num="1"/>
        </w:sectPr>
      </w:pPr>
    </w:p>
    <w:p w14:paraId="27CA9828">
      <w:pPr>
        <w:keepNext w:val="0"/>
        <w:keepLines w:val="0"/>
        <w:pageBreakBefore w:val="0"/>
        <w:widowControl/>
        <w:kinsoku w:val="0"/>
        <w:wordWrap/>
        <w:overflowPunct/>
        <w:topLinePunct w:val="0"/>
        <w:autoSpaceDE w:val="0"/>
        <w:autoSpaceDN w:val="0"/>
        <w:bidi w:val="0"/>
        <w:adjustRightInd w:val="0"/>
        <w:snapToGrid w:val="0"/>
        <w:spacing w:before="251" w:line="360" w:lineRule="auto"/>
        <w:ind w:left="29" w:right="152" w:firstLine="65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6"/>
          <w:sz w:val="32"/>
          <w:szCs w:val="32"/>
        </w:rPr>
        <w:t>十五、对附属单位补助支出：</w:t>
      </w:r>
      <w:r>
        <w:rPr>
          <w:rFonts w:hint="eastAsia" w:ascii="仿宋_GB2312" w:hAnsi="仿宋_GB2312" w:eastAsia="仿宋_GB2312" w:cs="仿宋_GB2312"/>
          <w:spacing w:val="6"/>
          <w:sz w:val="32"/>
          <w:szCs w:val="32"/>
        </w:rPr>
        <w:t>指事业单位用财政补助收</w:t>
      </w:r>
      <w:r>
        <w:rPr>
          <w:rFonts w:hint="eastAsia" w:ascii="仿宋_GB2312" w:hAnsi="仿宋_GB2312" w:eastAsia="仿宋_GB2312" w:cs="仿宋_GB2312"/>
          <w:spacing w:val="8"/>
          <w:sz w:val="32"/>
          <w:szCs w:val="32"/>
        </w:rPr>
        <w:t>入之外的收入对附属单位补助发生的支出。</w:t>
      </w:r>
    </w:p>
    <w:p w14:paraId="378630C4">
      <w:pPr>
        <w:keepNext w:val="0"/>
        <w:keepLines w:val="0"/>
        <w:pageBreakBefore w:val="0"/>
        <w:widowControl/>
        <w:kinsoku w:val="0"/>
        <w:wordWrap/>
        <w:overflowPunct/>
        <w:topLinePunct w:val="0"/>
        <w:autoSpaceDE w:val="0"/>
        <w:autoSpaceDN w:val="0"/>
        <w:bidi w:val="0"/>
        <w:adjustRightInd w:val="0"/>
        <w:snapToGrid w:val="0"/>
        <w:spacing w:before="155" w:line="360" w:lineRule="auto"/>
        <w:ind w:left="25" w:firstLine="714" w:firstLineChars="213"/>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十六、“三公”经费：</w:t>
      </w:r>
      <w:r>
        <w:rPr>
          <w:rFonts w:hint="eastAsia" w:ascii="仿宋_GB2312" w:hAnsi="仿宋_GB2312" w:eastAsia="仿宋_GB2312" w:cs="仿宋_GB2312"/>
          <w:spacing w:val="7"/>
          <w:sz w:val="32"/>
          <w:szCs w:val="32"/>
        </w:rPr>
        <w:t>纳入省级财政预决算</w:t>
      </w:r>
      <w:r>
        <w:rPr>
          <w:rFonts w:hint="eastAsia" w:ascii="仿宋_GB2312" w:hAnsi="仿宋_GB2312" w:eastAsia="仿宋_GB2312" w:cs="仿宋_GB2312"/>
          <w:spacing w:val="6"/>
          <w:sz w:val="32"/>
          <w:szCs w:val="32"/>
        </w:rPr>
        <w:t>管理的“三</w:t>
      </w:r>
      <w:r>
        <w:rPr>
          <w:rFonts w:hint="eastAsia" w:ascii="仿宋_GB2312" w:hAnsi="仿宋_GB2312" w:eastAsia="仿宋_GB2312" w:cs="仿宋_GB2312"/>
          <w:spacing w:val="9"/>
          <w:sz w:val="32"/>
          <w:szCs w:val="32"/>
        </w:rPr>
        <w:t>公”经费，是指省级部门用财政拨款安排的因公出国（境）费、公务用车购置及运行维护费和公务接待费。是党</w:t>
      </w:r>
      <w:r>
        <w:rPr>
          <w:rFonts w:hint="eastAsia" w:ascii="仿宋_GB2312" w:hAnsi="仿宋_GB2312" w:eastAsia="仿宋_GB2312" w:cs="仿宋_GB2312"/>
          <w:spacing w:val="8"/>
          <w:sz w:val="32"/>
          <w:szCs w:val="32"/>
        </w:rPr>
        <w:t>政机关</w:t>
      </w:r>
      <w:r>
        <w:rPr>
          <w:rFonts w:hint="eastAsia" w:ascii="仿宋_GB2312" w:hAnsi="仿宋_GB2312" w:eastAsia="仿宋_GB2312" w:cs="仿宋_GB2312"/>
          <w:spacing w:val="9"/>
          <w:sz w:val="32"/>
          <w:szCs w:val="32"/>
        </w:rPr>
        <w:t>维持运转或完成特定工作任务所开支的相关支出，</w:t>
      </w:r>
      <w:r>
        <w:rPr>
          <w:rFonts w:hint="eastAsia" w:ascii="仿宋_GB2312" w:hAnsi="仿宋_GB2312" w:eastAsia="仿宋_GB2312" w:cs="仿宋_GB2312"/>
          <w:spacing w:val="8"/>
          <w:sz w:val="32"/>
          <w:szCs w:val="32"/>
        </w:rPr>
        <w:t>是政府行</w:t>
      </w:r>
      <w:r>
        <w:rPr>
          <w:rFonts w:hint="eastAsia" w:ascii="仿宋_GB2312" w:hAnsi="仿宋_GB2312" w:eastAsia="仿宋_GB2312" w:cs="仿宋_GB2312"/>
          <w:spacing w:val="-12"/>
          <w:sz w:val="32"/>
          <w:szCs w:val="32"/>
        </w:rPr>
        <w:t>政</w:t>
      </w:r>
      <w:r>
        <w:rPr>
          <w:rFonts w:hint="eastAsia" w:ascii="仿宋_GB2312" w:hAnsi="仿宋_GB2312" w:eastAsia="仿宋_GB2312" w:cs="仿宋_GB2312"/>
          <w:spacing w:val="-1"/>
          <w:sz w:val="32"/>
          <w:szCs w:val="32"/>
        </w:rPr>
        <w:t>的国际旅费、国外城市间交通费、住宿费、伙食费、培训费、</w:t>
      </w:r>
      <w:r>
        <w:rPr>
          <w:rFonts w:hint="eastAsia" w:ascii="仿宋_GB2312" w:hAnsi="仿宋_GB2312" w:eastAsia="仿宋_GB2312" w:cs="仿宋_GB2312"/>
          <w:spacing w:val="9"/>
          <w:sz w:val="32"/>
          <w:szCs w:val="32"/>
        </w:rPr>
        <w:t>公杂费等支出；公务用车购置及运行费反映单位公务用</w:t>
      </w:r>
      <w:r>
        <w:rPr>
          <w:rFonts w:hint="eastAsia" w:ascii="仿宋_GB2312" w:hAnsi="仿宋_GB2312" w:eastAsia="仿宋_GB2312" w:cs="仿宋_GB2312"/>
          <w:spacing w:val="8"/>
          <w:sz w:val="32"/>
          <w:szCs w:val="32"/>
        </w:rPr>
        <w:t>车车</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辆购置支出（含车辆购置税）及燃料费、维修费、过桥</w:t>
      </w:r>
      <w:r>
        <w:rPr>
          <w:rFonts w:hint="eastAsia" w:ascii="仿宋_GB2312" w:hAnsi="仿宋_GB2312" w:eastAsia="仿宋_GB2312" w:cs="仿宋_GB2312"/>
          <w:spacing w:val="8"/>
          <w:sz w:val="32"/>
          <w:szCs w:val="32"/>
        </w:rPr>
        <w:t>过路</w:t>
      </w:r>
      <w:r>
        <w:rPr>
          <w:rFonts w:hint="eastAsia" w:ascii="仿宋_GB2312" w:hAnsi="仿宋_GB2312" w:eastAsia="仿宋_GB2312" w:cs="仿宋_GB2312"/>
          <w:spacing w:val="9"/>
          <w:sz w:val="32"/>
          <w:szCs w:val="32"/>
        </w:rPr>
        <w:t>费、保险费、安全奖励费等支出；公务接待费反映单位</w:t>
      </w:r>
      <w:r>
        <w:rPr>
          <w:rFonts w:hint="eastAsia" w:ascii="仿宋_GB2312" w:hAnsi="仿宋_GB2312" w:eastAsia="仿宋_GB2312" w:cs="仿宋_GB2312"/>
          <w:spacing w:val="8"/>
          <w:sz w:val="32"/>
          <w:szCs w:val="32"/>
        </w:rPr>
        <w:t>按规</w:t>
      </w:r>
      <w:r>
        <w:rPr>
          <w:rFonts w:hint="eastAsia" w:ascii="仿宋_GB2312" w:hAnsi="仿宋_GB2312" w:eastAsia="仿宋_GB2312" w:cs="仿宋_GB2312"/>
          <w:spacing w:val="7"/>
          <w:sz w:val="32"/>
          <w:szCs w:val="32"/>
        </w:rPr>
        <w:t>定开支的各类公务接待（含外宾接待）支出。</w:t>
      </w:r>
    </w:p>
    <w:p w14:paraId="7300B828">
      <w:pPr>
        <w:keepNext w:val="0"/>
        <w:keepLines w:val="0"/>
        <w:pageBreakBefore w:val="0"/>
        <w:widowControl/>
        <w:kinsoku w:val="0"/>
        <w:wordWrap/>
        <w:overflowPunct/>
        <w:topLinePunct w:val="0"/>
        <w:autoSpaceDE w:val="0"/>
        <w:autoSpaceDN w:val="0"/>
        <w:bidi w:val="0"/>
        <w:adjustRightInd w:val="0"/>
        <w:snapToGrid w:val="0"/>
        <w:spacing w:before="48" w:line="360" w:lineRule="auto"/>
        <w:ind w:left="28" w:right="91" w:firstLine="65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7"/>
          <w:sz w:val="32"/>
          <w:szCs w:val="32"/>
        </w:rPr>
        <w:t>十七、机关运行经费：</w:t>
      </w:r>
      <w:r>
        <w:rPr>
          <w:rFonts w:hint="eastAsia" w:ascii="仿宋_GB2312" w:hAnsi="仿宋_GB2312" w:eastAsia="仿宋_GB2312" w:cs="仿宋_GB2312"/>
          <w:spacing w:val="7"/>
          <w:sz w:val="32"/>
          <w:szCs w:val="32"/>
        </w:rPr>
        <w:t>指为保障行政单位（包</w:t>
      </w:r>
      <w:r>
        <w:rPr>
          <w:rFonts w:hint="eastAsia" w:ascii="仿宋_GB2312" w:hAnsi="仿宋_GB2312" w:eastAsia="仿宋_GB2312" w:cs="仿宋_GB2312"/>
          <w:spacing w:val="6"/>
          <w:sz w:val="32"/>
          <w:szCs w:val="32"/>
        </w:rPr>
        <w:t>括参照公</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务员法管理的事业单位）运行用于购买货物和服务的</w:t>
      </w:r>
      <w:r>
        <w:rPr>
          <w:rFonts w:hint="eastAsia" w:ascii="仿宋_GB2312" w:hAnsi="仿宋_GB2312" w:eastAsia="仿宋_GB2312" w:cs="仿宋_GB2312"/>
          <w:spacing w:val="8"/>
          <w:sz w:val="32"/>
          <w:szCs w:val="32"/>
        </w:rPr>
        <w:t>各项资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金，包括办公费、</w:t>
      </w:r>
      <w:r>
        <w:rPr>
          <w:rFonts w:hint="eastAsia" w:ascii="仿宋_GB2312" w:hAnsi="仿宋_GB2312" w:eastAsia="仿宋_GB2312" w:cs="仿宋_GB2312"/>
          <w:spacing w:val="-82"/>
          <w:sz w:val="32"/>
          <w:szCs w:val="32"/>
        </w:rPr>
        <w:t xml:space="preserve"> </w:t>
      </w:r>
      <w:r>
        <w:rPr>
          <w:rFonts w:hint="eastAsia" w:ascii="仿宋_GB2312" w:hAnsi="仿宋_GB2312" w:eastAsia="仿宋_GB2312" w:cs="仿宋_GB2312"/>
          <w:spacing w:val="6"/>
          <w:sz w:val="32"/>
          <w:szCs w:val="32"/>
        </w:rPr>
        <w:t>印刷费、邮电费、差旅费、会议费、福利</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费、日常维修费、专用材料及一般设备购置费、</w:t>
      </w:r>
      <w:r>
        <w:rPr>
          <w:rFonts w:hint="eastAsia" w:ascii="仿宋_GB2312" w:hAnsi="仿宋_GB2312" w:eastAsia="仿宋_GB2312" w:cs="仿宋_GB2312"/>
          <w:spacing w:val="8"/>
          <w:sz w:val="32"/>
          <w:szCs w:val="32"/>
        </w:rPr>
        <w:t>办公用房水</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电费、办公用房取暖费、办公用房物业管理费、</w:t>
      </w:r>
      <w:r>
        <w:rPr>
          <w:rFonts w:hint="eastAsia" w:ascii="仿宋_GB2312" w:hAnsi="仿宋_GB2312" w:eastAsia="仿宋_GB2312" w:cs="仿宋_GB2312"/>
          <w:spacing w:val="8"/>
          <w:sz w:val="32"/>
          <w:szCs w:val="32"/>
        </w:rPr>
        <w:t>公务用车运</w:t>
      </w:r>
      <w:r>
        <w:rPr>
          <w:rFonts w:hint="eastAsia" w:ascii="仿宋_GB2312" w:hAnsi="仿宋_GB2312" w:eastAsia="仿宋_GB2312" w:cs="仿宋_GB2312"/>
          <w:spacing w:val="3"/>
          <w:sz w:val="32"/>
          <w:szCs w:val="32"/>
        </w:rPr>
        <w:t>行维护费以及其他费用。</w:t>
      </w:r>
    </w:p>
    <w:p w14:paraId="35AA848A">
      <w:pPr>
        <w:pageBreakBefore w:val="0"/>
        <w:widowControl/>
        <w:kinsoku w:val="0"/>
        <w:wordWrap/>
        <w:overflowPunct/>
        <w:topLinePunct w:val="0"/>
        <w:autoSpaceDE w:val="0"/>
        <w:autoSpaceDN w:val="0"/>
        <w:bidi w:val="0"/>
        <w:adjustRightInd w:val="0"/>
        <w:snapToGrid w:val="0"/>
        <w:spacing w:before="48" w:line="360" w:lineRule="auto"/>
        <w:ind w:left="26" w:right="93" w:firstLine="656"/>
        <w:textAlignment w:val="baseline"/>
        <w:rPr>
          <w:rFonts w:hint="eastAsia" w:ascii="仿宋_GB2312" w:hAnsi="仿宋_GB2312" w:eastAsia="仿宋_GB2312" w:cs="仿宋_GB2312"/>
          <w:spacing w:val="-13"/>
          <w:sz w:val="32"/>
          <w:szCs w:val="32"/>
          <w:lang w:eastAsia="zh-CN"/>
        </w:rPr>
      </w:pPr>
    </w:p>
    <w:p w14:paraId="48687624">
      <w:pPr>
        <w:pageBreakBefore w:val="0"/>
        <w:widowControl/>
        <w:kinsoku w:val="0"/>
        <w:wordWrap/>
        <w:overflowPunct/>
        <w:topLinePunct w:val="0"/>
        <w:autoSpaceDE w:val="0"/>
        <w:autoSpaceDN w:val="0"/>
        <w:bidi w:val="0"/>
        <w:adjustRightInd w:val="0"/>
        <w:snapToGrid w:val="0"/>
        <w:spacing w:before="48" w:line="360" w:lineRule="auto"/>
        <w:ind w:left="26" w:right="93" w:firstLine="656"/>
        <w:textAlignment w:val="baseline"/>
        <w:rPr>
          <w:rFonts w:hint="eastAsia" w:ascii="仿宋_GB2312" w:hAnsi="仿宋_GB2312" w:eastAsia="仿宋_GB2312" w:cs="仿宋_GB2312"/>
          <w:spacing w:val="-13"/>
          <w:sz w:val="32"/>
          <w:szCs w:val="32"/>
          <w:lang w:eastAsia="zh-CN"/>
        </w:rPr>
      </w:pPr>
      <w:bookmarkStart w:id="0" w:name="_GoBack"/>
      <w:bookmarkEnd w:id="0"/>
    </w:p>
    <w:p w14:paraId="4CED97B5">
      <w:pPr>
        <w:bidi w:val="0"/>
        <w:ind w:firstLine="0" w:firstLineChars="0"/>
        <w:jc w:val="left"/>
        <w:rPr>
          <w:rFonts w:hint="default"/>
          <w:lang w:val="en-US" w:eastAsia="zh-CN"/>
        </w:rPr>
      </w:pPr>
    </w:p>
    <w:sectPr>
      <w:footerReference r:id="rId11" w:type="default"/>
      <w:pgSz w:w="11907" w:h="16839"/>
      <w:pgMar w:top="1431" w:right="1705" w:bottom="1153" w:left="1785"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AA149">
    <w:pPr>
      <w:spacing w:line="177" w:lineRule="auto"/>
      <w:ind w:left="413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1A43C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151A43C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A56B">
    <w:pPr>
      <w:spacing w:line="177" w:lineRule="auto"/>
      <w:ind w:left="411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1275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F31275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5DD07">
    <w:pPr>
      <w:spacing w:line="176" w:lineRule="auto"/>
      <w:ind w:left="4122"/>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B9DC8">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17CB9DC8">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1FE7">
    <w:pPr>
      <w:spacing w:line="174" w:lineRule="auto"/>
      <w:ind w:left="4124"/>
      <w:rPr>
        <w:rFonts w:hint="default" w:ascii="Times New Roman" w:hAnsi="Times New Roman" w:eastAsia="宋体" w:cs="Times New Roman"/>
        <w:sz w:val="21"/>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FF066">
                          <w:pPr>
                            <w:pStyle w:val="4"/>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27FF066">
                    <w:pPr>
                      <w:pStyle w:val="4"/>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56429">
    <w:pPr>
      <w:spacing w:line="176" w:lineRule="auto"/>
      <w:ind w:left="4123"/>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FC2BA">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022FC2BA">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68945">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1D3F0">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AD1D3F0">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26C9C">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9BA7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1329BA7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7C6C5"/>
    <w:multiLevelType w:val="singleLevel"/>
    <w:tmpl w:val="8897C6C5"/>
    <w:lvl w:ilvl="0" w:tentative="0">
      <w:start w:val="9"/>
      <w:numFmt w:val="chineseCounting"/>
      <w:suff w:val="nothing"/>
      <w:lvlText w:val="%1、"/>
      <w:lvlJc w:val="left"/>
      <w:rPr>
        <w:rFonts w:hint="eastAsia"/>
      </w:rPr>
    </w:lvl>
  </w:abstractNum>
  <w:abstractNum w:abstractNumId="1">
    <w:nsid w:val="CB6B5511"/>
    <w:multiLevelType w:val="singleLevel"/>
    <w:tmpl w:val="CB6B5511"/>
    <w:lvl w:ilvl="0" w:tentative="0">
      <w:start w:val="1"/>
      <w:numFmt w:val="decimal"/>
      <w:lvlText w:val="%1."/>
      <w:lvlJc w:val="left"/>
      <w:pPr>
        <w:tabs>
          <w:tab w:val="left" w:pos="312"/>
        </w:tabs>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NDQ2Mjc3NTg3YjMzYTk3ODNiZjE4ZDBlODM0YjkifQ=="/>
  </w:docVars>
  <w:rsids>
    <w:rsidRoot w:val="00000000"/>
    <w:rsid w:val="0D396ACB"/>
    <w:rsid w:val="10EF7073"/>
    <w:rsid w:val="1548367B"/>
    <w:rsid w:val="22450BF6"/>
    <w:rsid w:val="2368163D"/>
    <w:rsid w:val="28CC2D50"/>
    <w:rsid w:val="39DC40E1"/>
    <w:rsid w:val="3C3929B5"/>
    <w:rsid w:val="3DC3562A"/>
    <w:rsid w:val="44801135"/>
    <w:rsid w:val="46507129"/>
    <w:rsid w:val="54FC214C"/>
    <w:rsid w:val="55170E0C"/>
    <w:rsid w:val="651641C9"/>
    <w:rsid w:val="6B4442AA"/>
    <w:rsid w:val="6E626CFA"/>
    <w:rsid w:val="73144A74"/>
    <w:rsid w:val="7D715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9220</Words>
  <Characters>9755</Characters>
  <Lines>0</Lines>
  <Paragraphs>0</Paragraphs>
  <TotalTime>14</TotalTime>
  <ScaleCrop>false</ScaleCrop>
  <LinksUpToDate>false</LinksUpToDate>
  <CharactersWithSpaces>9896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2024-09-13T00:51:00Z</dcterms:created>
  <dc:creator>admin</dc:creator>
  <cp:lastModifiedBy>平平</cp:lastModifiedBy>
  <cp:lastPrinted>2024-09-13T01:50:00Z</cp:lastPrinted>
  <dcterms:modified xsi:type="dcterms:W3CDTF">2024-09-13T08:32:33Z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2A5D64D506E744818AF1C61F9A41F1F9_13</vt:lpwstr>
  </property>
</Properties>
</file>